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D70C" w14:textId="77777777" w:rsidR="00B266E9" w:rsidRPr="004C55D0" w:rsidRDefault="00000000" w:rsidP="004C55D0">
      <w:pPr>
        <w:pStyle w:val="NormalWeb"/>
        <w:jc w:val="center"/>
        <w:rPr>
          <w:rFonts w:ascii="Times New Roman" w:hAnsi="Times New Roman" w:cs="Times New Roman"/>
          <w:sz w:val="24"/>
          <w:szCs w:val="24"/>
        </w:rPr>
      </w:pPr>
      <w:r w:rsidRPr="004C55D0">
        <w:rPr>
          <w:rFonts w:ascii="Times New Roman" w:hAnsi="Times New Roman" w:cs="Times New Roman"/>
          <w:b/>
          <w:bCs/>
          <w:sz w:val="24"/>
          <w:szCs w:val="24"/>
        </w:rPr>
        <w:t>CREDENCIAMENTO Nº 00001/2025</w:t>
      </w:r>
    </w:p>
    <w:p w14:paraId="72E6E16A" w14:textId="77777777" w:rsidR="00B266E9" w:rsidRDefault="00000000" w:rsidP="004C55D0">
      <w:pPr>
        <w:pStyle w:val="NormalWeb"/>
        <w:jc w:val="center"/>
        <w:rPr>
          <w:rFonts w:ascii="Times New Roman" w:hAnsi="Times New Roman" w:cs="Times New Roman"/>
          <w:sz w:val="24"/>
          <w:szCs w:val="24"/>
        </w:rPr>
      </w:pPr>
      <w:r w:rsidRPr="004C55D0">
        <w:rPr>
          <w:rFonts w:ascii="Times New Roman" w:hAnsi="Times New Roman" w:cs="Times New Roman"/>
          <w:sz w:val="24"/>
          <w:szCs w:val="24"/>
        </w:rPr>
        <w:t>PROCESSO ADMINISTRATIVO Nº 021/2025</w:t>
      </w:r>
    </w:p>
    <w:p w14:paraId="4F79ECCC" w14:textId="77777777" w:rsidR="004C55D0" w:rsidRPr="004C55D0" w:rsidRDefault="004C55D0" w:rsidP="004C55D0">
      <w:pPr>
        <w:pStyle w:val="NormalWeb"/>
        <w:jc w:val="center"/>
        <w:rPr>
          <w:rFonts w:ascii="Times New Roman" w:hAnsi="Times New Roman" w:cs="Times New Roman"/>
          <w:sz w:val="24"/>
          <w:szCs w:val="24"/>
        </w:rPr>
      </w:pPr>
    </w:p>
    <w:p w14:paraId="1E629B97" w14:textId="40F2B107" w:rsidR="00B266E9" w:rsidRPr="004C55D0" w:rsidRDefault="00B266E9" w:rsidP="004C55D0">
      <w:pPr>
        <w:pStyle w:val="NormalWeb"/>
        <w:jc w:val="center"/>
        <w:rPr>
          <w:rFonts w:ascii="Times New Roman" w:hAnsi="Times New Roman" w:cs="Times New Roman"/>
          <w:sz w:val="24"/>
          <w:szCs w:val="24"/>
        </w:rPr>
      </w:pPr>
    </w:p>
    <w:p w14:paraId="47F7C1E7" w14:textId="1CF21DD9" w:rsidR="00B266E9" w:rsidRDefault="00000000" w:rsidP="004C55D0">
      <w:pPr>
        <w:pStyle w:val="NormalWeb"/>
        <w:jc w:val="center"/>
        <w:rPr>
          <w:rFonts w:ascii="Times New Roman" w:hAnsi="Times New Roman" w:cs="Times New Roman"/>
          <w:b/>
          <w:bCs/>
          <w:sz w:val="24"/>
          <w:szCs w:val="24"/>
          <w:u w:val="single"/>
        </w:rPr>
      </w:pPr>
      <w:r w:rsidRPr="004C55D0">
        <w:rPr>
          <w:rFonts w:ascii="Times New Roman" w:hAnsi="Times New Roman" w:cs="Times New Roman"/>
          <w:b/>
          <w:bCs/>
          <w:sz w:val="24"/>
          <w:szCs w:val="24"/>
          <w:u w:val="single"/>
        </w:rPr>
        <w:t xml:space="preserve">CONTRATO </w:t>
      </w:r>
      <w:r w:rsidR="004C55D0" w:rsidRPr="004C55D0">
        <w:rPr>
          <w:rFonts w:ascii="Times New Roman" w:hAnsi="Times New Roman" w:cs="Times New Roman"/>
          <w:b/>
          <w:bCs/>
          <w:sz w:val="24"/>
          <w:szCs w:val="24"/>
          <w:u w:val="single"/>
        </w:rPr>
        <w:t xml:space="preserve">DE COMPRA </w:t>
      </w:r>
      <w:r w:rsidRPr="004C55D0">
        <w:rPr>
          <w:rFonts w:ascii="Times New Roman" w:hAnsi="Times New Roman" w:cs="Times New Roman"/>
          <w:b/>
          <w:bCs/>
          <w:sz w:val="24"/>
          <w:szCs w:val="24"/>
          <w:u w:val="single"/>
        </w:rPr>
        <w:t>Nº: 00078/2025</w:t>
      </w:r>
    </w:p>
    <w:p w14:paraId="6D2240AB" w14:textId="77777777" w:rsidR="004C55D0" w:rsidRPr="004C55D0" w:rsidRDefault="004C55D0" w:rsidP="004C55D0">
      <w:pPr>
        <w:pStyle w:val="NormalWeb"/>
        <w:jc w:val="center"/>
        <w:rPr>
          <w:rFonts w:ascii="Times New Roman" w:hAnsi="Times New Roman" w:cs="Times New Roman"/>
          <w:sz w:val="24"/>
          <w:szCs w:val="24"/>
          <w:u w:val="single"/>
        </w:rPr>
      </w:pPr>
    </w:p>
    <w:p w14:paraId="06D690CA"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707D4F00" w14:textId="77777777" w:rsidR="00B266E9" w:rsidRDefault="00000000" w:rsidP="004C55D0">
      <w:pPr>
        <w:pStyle w:val="introducao"/>
        <w:ind w:left="5245"/>
        <w:rPr>
          <w:rFonts w:ascii="Times New Roman" w:hAnsi="Times New Roman" w:cs="Times New Roman"/>
          <w:sz w:val="24"/>
          <w:szCs w:val="24"/>
        </w:rPr>
      </w:pPr>
      <w:r w:rsidRPr="004C55D0">
        <w:rPr>
          <w:rFonts w:ascii="Times New Roman" w:hAnsi="Times New Roman" w:cs="Times New Roman"/>
          <w:sz w:val="24"/>
          <w:szCs w:val="24"/>
        </w:rPr>
        <w:t xml:space="preserve">TERMO DE CONTRATO QUE ENTRE SI CELEBRAM A PREFEITURA MUNICIPAL DE PRINCESA ISABEL E </w:t>
      </w:r>
      <w:r w:rsidRPr="004C55D0">
        <w:rPr>
          <w:rFonts w:ascii="Times New Roman" w:hAnsi="Times New Roman" w:cs="Times New Roman"/>
          <w:b/>
          <w:bCs/>
          <w:sz w:val="24"/>
          <w:szCs w:val="24"/>
        </w:rPr>
        <w:t>TATIANE GOMES DOS SANTOS BARBOSA</w:t>
      </w:r>
      <w:r w:rsidRPr="004C55D0">
        <w:rPr>
          <w:rFonts w:ascii="Times New Roman" w:hAnsi="Times New Roman" w:cs="Times New Roman"/>
          <w:sz w:val="24"/>
          <w:szCs w:val="24"/>
        </w:rPr>
        <w:t>, PARA FORNECIMENTO CONFORME DISCRIMINADO NESTE INSTRUMENTO NA FORMA ABAIXO:</w:t>
      </w:r>
    </w:p>
    <w:p w14:paraId="685F9770" w14:textId="77777777" w:rsidR="004C55D0" w:rsidRPr="004C55D0" w:rsidRDefault="004C55D0">
      <w:pPr>
        <w:pStyle w:val="introducao"/>
        <w:rPr>
          <w:rFonts w:ascii="Times New Roman" w:hAnsi="Times New Roman" w:cs="Times New Roman"/>
          <w:sz w:val="24"/>
          <w:szCs w:val="24"/>
        </w:rPr>
      </w:pPr>
    </w:p>
    <w:p w14:paraId="124CA6FE"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21AF18A5" w14:textId="195794F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Pelo presente instrumento de contrato, de um lado </w:t>
      </w:r>
      <w:r w:rsidR="004C55D0" w:rsidRPr="004C55D0">
        <w:rPr>
          <w:rFonts w:ascii="Times New Roman" w:hAnsi="Times New Roman" w:cs="Times New Roman"/>
          <w:b/>
          <w:bCs/>
          <w:sz w:val="24"/>
          <w:szCs w:val="24"/>
        </w:rPr>
        <w:t>PREFEITURA MUNICIPAL DE PRINCESA ISABEL</w:t>
      </w:r>
      <w:r w:rsidR="004C55D0" w:rsidRPr="004C55D0">
        <w:rPr>
          <w:rFonts w:ascii="Times New Roman" w:hAnsi="Times New Roman" w:cs="Times New Roman"/>
          <w:sz w:val="24"/>
          <w:szCs w:val="24"/>
        </w:rPr>
        <w:t xml:space="preserve"> </w:t>
      </w:r>
      <w:r w:rsidRPr="004C55D0">
        <w:rPr>
          <w:rFonts w:ascii="Times New Roman" w:hAnsi="Times New Roman" w:cs="Times New Roman"/>
          <w:sz w:val="24"/>
          <w:szCs w:val="24"/>
        </w:rPr>
        <w:t xml:space="preserve">- Rua Francisco Sales Maia, 23 - Centro - Princesa Isabel - PB, CNPJ nº 08.888.968/0001-08, neste ato representada pelo Prefeito </w:t>
      </w:r>
      <w:r w:rsidR="004C55D0" w:rsidRPr="004C55D0">
        <w:rPr>
          <w:rFonts w:ascii="Times New Roman" w:hAnsi="Times New Roman" w:cs="Times New Roman"/>
          <w:b/>
          <w:bCs/>
          <w:sz w:val="24"/>
          <w:szCs w:val="24"/>
        </w:rPr>
        <w:t>EDNALDO DE MELO</w:t>
      </w:r>
      <w:r w:rsidRPr="004C55D0">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4C55D0">
        <w:rPr>
          <w:rFonts w:ascii="Times New Roman" w:hAnsi="Times New Roman" w:cs="Times New Roman"/>
          <w:b/>
          <w:bCs/>
          <w:sz w:val="24"/>
          <w:szCs w:val="24"/>
        </w:rPr>
        <w:t>CONTRATANTE</w:t>
      </w:r>
      <w:r w:rsidRPr="004C55D0">
        <w:rPr>
          <w:rFonts w:ascii="Times New Roman" w:hAnsi="Times New Roman" w:cs="Times New Roman"/>
          <w:sz w:val="24"/>
          <w:szCs w:val="24"/>
        </w:rPr>
        <w:t xml:space="preserve">, e do outro lado </w:t>
      </w:r>
      <w:r w:rsidR="004C55D0" w:rsidRPr="004C55D0">
        <w:rPr>
          <w:rFonts w:ascii="Times New Roman" w:hAnsi="Times New Roman" w:cs="Times New Roman"/>
          <w:b/>
          <w:bCs/>
          <w:sz w:val="24"/>
          <w:szCs w:val="24"/>
        </w:rPr>
        <w:t>TATIANE GOMES DOS SANTOS BARBOSA</w:t>
      </w:r>
      <w:r w:rsidR="004C55D0" w:rsidRPr="004C55D0">
        <w:rPr>
          <w:rFonts w:ascii="Times New Roman" w:hAnsi="Times New Roman" w:cs="Times New Roman"/>
          <w:sz w:val="24"/>
          <w:szCs w:val="24"/>
        </w:rPr>
        <w:t xml:space="preserve"> </w:t>
      </w:r>
      <w:r w:rsidRPr="004C55D0">
        <w:rPr>
          <w:rFonts w:ascii="Times New Roman" w:hAnsi="Times New Roman" w:cs="Times New Roman"/>
          <w:sz w:val="24"/>
          <w:szCs w:val="24"/>
        </w:rPr>
        <w:t xml:space="preserve">- Sítio Jatobá II, SN - Área Rural - Princesa Isabel - PB, CPF nº 078.707.454-30, doravante simplesmente </w:t>
      </w:r>
      <w:r w:rsidRPr="004C55D0">
        <w:rPr>
          <w:rFonts w:ascii="Times New Roman" w:hAnsi="Times New Roman" w:cs="Times New Roman"/>
          <w:b/>
          <w:bCs/>
          <w:sz w:val="24"/>
          <w:szCs w:val="24"/>
        </w:rPr>
        <w:t>CONTRATADO</w:t>
      </w:r>
      <w:r w:rsidRPr="004C55D0">
        <w:rPr>
          <w:rFonts w:ascii="Times New Roman" w:hAnsi="Times New Roman" w:cs="Times New Roman"/>
          <w:sz w:val="24"/>
          <w:szCs w:val="24"/>
        </w:rPr>
        <w:t>, decidiram as partes contratantes assinar o presente contrato, o qual se regerá pelas cláusulas e condições seguintes:</w:t>
      </w:r>
    </w:p>
    <w:p w14:paraId="55513886"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27F24A91"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PRIMEIRA - DOS FUNDAMENTOS:</w:t>
      </w:r>
    </w:p>
    <w:p w14:paraId="1523670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4C55D0">
        <w:rPr>
          <w:rFonts w:ascii="Times New Roman" w:hAnsi="Times New Roman" w:cs="Times New Roman"/>
          <w:sz w:val="24"/>
          <w:szCs w:val="24"/>
        </w:rPr>
        <w:t>Abril</w:t>
      </w:r>
      <w:proofErr w:type="gramEnd"/>
      <w:r w:rsidRPr="004C55D0">
        <w:rPr>
          <w:rFonts w:ascii="Times New Roman" w:hAnsi="Times New Roman" w:cs="Times New Roman"/>
          <w:sz w:val="24"/>
          <w:szCs w:val="24"/>
        </w:rPr>
        <w:t xml:space="preserve"> de 2021; Lei Complementar nº 123, de 14 de </w:t>
      </w:r>
      <w:proofErr w:type="gramStart"/>
      <w:r w:rsidRPr="004C55D0">
        <w:rPr>
          <w:rFonts w:ascii="Times New Roman" w:hAnsi="Times New Roman" w:cs="Times New Roman"/>
          <w:sz w:val="24"/>
          <w:szCs w:val="24"/>
        </w:rPr>
        <w:t>Dezembro</w:t>
      </w:r>
      <w:proofErr w:type="gramEnd"/>
      <w:r w:rsidRPr="004C55D0">
        <w:rPr>
          <w:rFonts w:ascii="Times New Roman" w:hAnsi="Times New Roman" w:cs="Times New Roman"/>
          <w:sz w:val="24"/>
          <w:szCs w:val="24"/>
        </w:rPr>
        <w:t xml:space="preserve"> de 2006; Decreto Federal nº 11.878, de 09 de </w:t>
      </w:r>
      <w:proofErr w:type="gramStart"/>
      <w:r w:rsidRPr="004C55D0">
        <w:rPr>
          <w:rFonts w:ascii="Times New Roman" w:hAnsi="Times New Roman" w:cs="Times New Roman"/>
          <w:sz w:val="24"/>
          <w:szCs w:val="24"/>
        </w:rPr>
        <w:t>Janeiro</w:t>
      </w:r>
      <w:proofErr w:type="gramEnd"/>
      <w:r w:rsidRPr="004C55D0">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0A337266"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72B86F25"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SEGUNDA - DO OBJETO:</w:t>
      </w:r>
    </w:p>
    <w:p w14:paraId="288CD235"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3D690728"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01446373"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37A7E50E"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3F0B1F5B"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TERCEIRA - DO VALOR E PREÇOS:</w:t>
      </w:r>
    </w:p>
    <w:p w14:paraId="28BEC020" w14:textId="77777777" w:rsidR="00B266E9"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O valor total deste contrato, a base do preço proposto, é de R$ 34.277,75 (TRINTA E QUATRO MIL DUZENTOS E SETENTA E SETE REAIS E SETENTA E CINCO CENTAVOS).</w:t>
      </w:r>
    </w:p>
    <w:p w14:paraId="4F48A567" w14:textId="77777777" w:rsidR="004C55D0" w:rsidRDefault="004C55D0">
      <w:pPr>
        <w:pStyle w:val="NormalWeb"/>
        <w:rPr>
          <w:rFonts w:ascii="Times New Roman" w:hAnsi="Times New Roman" w:cs="Times New Roman"/>
          <w:sz w:val="24"/>
          <w:szCs w:val="24"/>
        </w:rPr>
      </w:pPr>
    </w:p>
    <w:p w14:paraId="223EFC79" w14:textId="77777777" w:rsidR="004C55D0" w:rsidRPr="004C55D0" w:rsidRDefault="004C55D0">
      <w:pPr>
        <w:pStyle w:val="NormalWeb"/>
        <w:rPr>
          <w:rFonts w:ascii="Times New Roman" w:hAnsi="Times New Roman" w:cs="Times New Roman"/>
          <w:sz w:val="24"/>
          <w:szCs w:val="24"/>
        </w:rPr>
      </w:pPr>
    </w:p>
    <w:p w14:paraId="38DD4BD7"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B266E9" w:rsidRPr="004C55D0" w14:paraId="59F83577"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1CB34422" w14:textId="6D8B34DA" w:rsidR="00B266E9" w:rsidRPr="004C55D0" w:rsidRDefault="0076611E">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4499BB4" w14:textId="77777777" w:rsidR="00B266E9" w:rsidRPr="004C55D0" w:rsidRDefault="00000000">
            <w:pPr>
              <w:jc w:val="center"/>
              <w:rPr>
                <w:rFonts w:eastAsia="Times New Roman"/>
                <w:b/>
                <w:bCs/>
                <w:color w:val="000000"/>
              </w:rPr>
            </w:pPr>
            <w:r w:rsidRPr="004C55D0">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6E70994" w14:textId="55D2C94D" w:rsidR="00B266E9" w:rsidRPr="004C55D0" w:rsidRDefault="00000000">
            <w:pPr>
              <w:jc w:val="center"/>
              <w:rPr>
                <w:rFonts w:eastAsia="Times New Roman"/>
                <w:b/>
                <w:bCs/>
                <w:color w:val="000000"/>
              </w:rPr>
            </w:pPr>
            <w:r w:rsidRPr="004C55D0">
              <w:rPr>
                <w:rFonts w:eastAsia="Times New Roman"/>
                <w:b/>
                <w:bCs/>
                <w:color w:val="000000"/>
              </w:rPr>
              <w:t>UNID</w:t>
            </w:r>
            <w:r w:rsidR="0076611E">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8674DA7" w14:textId="6DCFAE9C" w:rsidR="00B266E9" w:rsidRPr="004C55D0" w:rsidRDefault="00000000">
            <w:pPr>
              <w:jc w:val="center"/>
              <w:rPr>
                <w:rFonts w:eastAsia="Times New Roman"/>
                <w:b/>
                <w:bCs/>
                <w:color w:val="000000"/>
              </w:rPr>
            </w:pPr>
            <w:r w:rsidRPr="004C55D0">
              <w:rPr>
                <w:rFonts w:eastAsia="Times New Roman"/>
                <w:b/>
                <w:bCs/>
                <w:color w:val="000000"/>
              </w:rPr>
              <w:t>QUANTID</w:t>
            </w:r>
            <w:r w:rsidR="0076611E">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E1AE62C" w14:textId="77777777" w:rsidR="00B266E9" w:rsidRPr="004C55D0" w:rsidRDefault="00000000">
            <w:pPr>
              <w:jc w:val="center"/>
              <w:rPr>
                <w:rFonts w:eastAsia="Times New Roman"/>
                <w:b/>
                <w:bCs/>
                <w:color w:val="000000"/>
              </w:rPr>
            </w:pPr>
            <w:proofErr w:type="gramStart"/>
            <w:r w:rsidRPr="004C55D0">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8FCEC0B" w14:textId="77777777" w:rsidR="00B266E9" w:rsidRPr="004C55D0" w:rsidRDefault="00000000">
            <w:pPr>
              <w:jc w:val="center"/>
              <w:rPr>
                <w:rFonts w:eastAsia="Times New Roman"/>
                <w:b/>
                <w:bCs/>
                <w:color w:val="000000"/>
              </w:rPr>
            </w:pPr>
            <w:r w:rsidRPr="004C55D0">
              <w:rPr>
                <w:rFonts w:eastAsia="Times New Roman"/>
                <w:b/>
                <w:bCs/>
                <w:color w:val="000000"/>
              </w:rPr>
              <w:t>P. TOTAL</w:t>
            </w:r>
          </w:p>
        </w:tc>
      </w:tr>
      <w:tr w:rsidR="00B266E9" w:rsidRPr="004C55D0" w14:paraId="1DDC05C7" w14:textId="77777777" w:rsidTr="0076611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227FD69" w14:textId="77777777" w:rsidR="00B266E9" w:rsidRPr="004C55D0" w:rsidRDefault="00000000" w:rsidP="0076611E">
            <w:pPr>
              <w:jc w:val="center"/>
              <w:rPr>
                <w:rFonts w:eastAsia="Times New Roman"/>
                <w:color w:val="000000"/>
              </w:rPr>
            </w:pPr>
            <w:r w:rsidRPr="004C55D0">
              <w:rPr>
                <w:rFonts w:eastAsia="Times New Roman"/>
                <w:color w:val="000000"/>
              </w:rPr>
              <w:t>8</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3315D30" w14:textId="77777777" w:rsidR="00B266E9" w:rsidRPr="004C55D0" w:rsidRDefault="00000000" w:rsidP="0076611E">
            <w:pPr>
              <w:jc w:val="both"/>
              <w:rPr>
                <w:rFonts w:eastAsia="Times New Roman"/>
                <w:color w:val="000000"/>
              </w:rPr>
            </w:pPr>
            <w:r w:rsidRPr="004C55D0">
              <w:rPr>
                <w:rFonts w:eastAsia="Times New Roman"/>
                <w:color w:val="000000"/>
              </w:rPr>
              <w:t>Cebola branca: extra, de primeira qualidade com grau médio de amadurecimento, sem rama, compacta e firme, sem lesões de origem física ou mecânica, perfurações e cortes, tamanho e coloração uniformes, devendo ser bem desenvolvida, graúda, isenta de enfermidades, sujidades, parasitas e larvas, firme,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7D0F58B" w14:textId="77777777" w:rsidR="00B266E9" w:rsidRPr="004C55D0" w:rsidRDefault="00000000" w:rsidP="0076611E">
            <w:pPr>
              <w:jc w:val="center"/>
              <w:rPr>
                <w:rFonts w:eastAsia="Times New Roman"/>
                <w:color w:val="000000"/>
              </w:rPr>
            </w:pPr>
            <w:r w:rsidRPr="004C55D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668C01F" w14:textId="77777777" w:rsidR="00B266E9" w:rsidRPr="004C55D0" w:rsidRDefault="00000000" w:rsidP="0076611E">
            <w:pPr>
              <w:jc w:val="center"/>
              <w:rPr>
                <w:rFonts w:eastAsia="Times New Roman"/>
                <w:color w:val="000000"/>
              </w:rPr>
            </w:pPr>
            <w:r w:rsidRPr="004C55D0">
              <w:rPr>
                <w:rFonts w:eastAsia="Times New Roman"/>
                <w:color w:val="000000"/>
              </w:rPr>
              <w:t>375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B9F2AF1" w14:textId="77777777" w:rsidR="00B266E9" w:rsidRPr="004C55D0" w:rsidRDefault="00000000" w:rsidP="0076611E">
            <w:pPr>
              <w:jc w:val="center"/>
              <w:rPr>
                <w:rFonts w:eastAsia="Times New Roman"/>
                <w:color w:val="000000"/>
              </w:rPr>
            </w:pPr>
            <w:r w:rsidRPr="004C55D0">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43F5CE8" w14:textId="77777777" w:rsidR="00B266E9" w:rsidRPr="004C55D0" w:rsidRDefault="00000000" w:rsidP="0076611E">
            <w:pPr>
              <w:jc w:val="center"/>
              <w:rPr>
                <w:rFonts w:eastAsia="Times New Roman"/>
                <w:color w:val="000000"/>
              </w:rPr>
            </w:pPr>
            <w:r w:rsidRPr="004C55D0">
              <w:rPr>
                <w:rFonts w:eastAsia="Times New Roman"/>
                <w:color w:val="000000"/>
              </w:rPr>
              <w:t>2.625,00</w:t>
            </w:r>
          </w:p>
        </w:tc>
      </w:tr>
      <w:tr w:rsidR="00B266E9" w:rsidRPr="004C55D0" w14:paraId="390F657C" w14:textId="77777777" w:rsidTr="0076611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CD66070" w14:textId="77777777" w:rsidR="00B266E9" w:rsidRPr="004C55D0" w:rsidRDefault="00000000" w:rsidP="0076611E">
            <w:pPr>
              <w:jc w:val="center"/>
              <w:rPr>
                <w:rFonts w:eastAsia="Times New Roman"/>
                <w:color w:val="000000"/>
              </w:rPr>
            </w:pPr>
            <w:r w:rsidRPr="004C55D0">
              <w:rPr>
                <w:rFonts w:eastAsia="Times New Roman"/>
                <w:color w:val="000000"/>
              </w:rPr>
              <w:t>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73E648E" w14:textId="77777777" w:rsidR="00B266E9" w:rsidRPr="004C55D0" w:rsidRDefault="00000000" w:rsidP="0076611E">
            <w:pPr>
              <w:jc w:val="both"/>
              <w:rPr>
                <w:rFonts w:eastAsia="Times New Roman"/>
                <w:color w:val="000000"/>
              </w:rPr>
            </w:pPr>
            <w:r w:rsidRPr="004C55D0">
              <w:rPr>
                <w:rFonts w:eastAsia="Times New Roman"/>
                <w:color w:val="000000"/>
              </w:rPr>
              <w:t>Coentro: deverão estar frescas e sãs, intactas e firmes, viçosas, de cor verde brilhante, com coloração uniforme e sem sinais de amarelecimento. Não poderão estar danificadas e nem apresentar podridão, substancias terrosas, sujidades ou corpos estranhos aderidos à superfície, umidade externa anormal e resíduos de defensivos agrícolas e/ou outras substâncias tóxicas. Não deverão apresentar parasitos ou larvas,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FA47A72" w14:textId="77777777" w:rsidR="00B266E9" w:rsidRPr="004C55D0" w:rsidRDefault="00000000" w:rsidP="0076611E">
            <w:pPr>
              <w:jc w:val="center"/>
              <w:rPr>
                <w:rFonts w:eastAsia="Times New Roman"/>
                <w:color w:val="000000"/>
              </w:rPr>
            </w:pPr>
            <w:r w:rsidRPr="004C55D0">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3FA3F9B" w14:textId="77777777" w:rsidR="00B266E9" w:rsidRPr="004C55D0" w:rsidRDefault="00000000" w:rsidP="0076611E">
            <w:pPr>
              <w:jc w:val="center"/>
              <w:rPr>
                <w:rFonts w:eastAsia="Times New Roman"/>
                <w:color w:val="000000"/>
              </w:rPr>
            </w:pPr>
            <w:r w:rsidRPr="004C55D0">
              <w:rPr>
                <w:rFonts w:eastAsia="Times New Roman"/>
                <w:color w:val="000000"/>
              </w:rPr>
              <w:t>375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266EF21" w14:textId="77777777" w:rsidR="00B266E9" w:rsidRPr="004C55D0" w:rsidRDefault="00000000" w:rsidP="0076611E">
            <w:pPr>
              <w:jc w:val="center"/>
              <w:rPr>
                <w:rFonts w:eastAsia="Times New Roman"/>
                <w:color w:val="000000"/>
              </w:rPr>
            </w:pPr>
            <w:r w:rsidRPr="004C55D0">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1F0AC50" w14:textId="77777777" w:rsidR="00B266E9" w:rsidRPr="004C55D0" w:rsidRDefault="00000000" w:rsidP="0076611E">
            <w:pPr>
              <w:jc w:val="center"/>
              <w:rPr>
                <w:rFonts w:eastAsia="Times New Roman"/>
                <w:color w:val="000000"/>
              </w:rPr>
            </w:pPr>
            <w:r w:rsidRPr="004C55D0">
              <w:rPr>
                <w:rFonts w:eastAsia="Times New Roman"/>
                <w:color w:val="000000"/>
              </w:rPr>
              <w:t>1.248,75</w:t>
            </w:r>
          </w:p>
        </w:tc>
      </w:tr>
      <w:tr w:rsidR="00B266E9" w:rsidRPr="004C55D0" w14:paraId="678B8870" w14:textId="77777777" w:rsidTr="0076611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EB51998" w14:textId="77777777" w:rsidR="00B266E9" w:rsidRPr="004C55D0" w:rsidRDefault="00000000" w:rsidP="0076611E">
            <w:pPr>
              <w:jc w:val="center"/>
              <w:rPr>
                <w:rFonts w:eastAsia="Times New Roman"/>
                <w:color w:val="000000"/>
              </w:rPr>
            </w:pPr>
            <w:r w:rsidRPr="004C55D0">
              <w:rPr>
                <w:rFonts w:eastAsia="Times New Roman"/>
                <w:color w:val="000000"/>
              </w:rPr>
              <w:t>10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4A3A401" w14:textId="77777777" w:rsidR="00B266E9" w:rsidRPr="004C55D0" w:rsidRDefault="00000000" w:rsidP="0076611E">
            <w:pPr>
              <w:jc w:val="both"/>
              <w:rPr>
                <w:rFonts w:eastAsia="Times New Roman"/>
                <w:color w:val="000000"/>
              </w:rPr>
            </w:pPr>
            <w:r w:rsidRPr="004C55D0">
              <w:rPr>
                <w:rFonts w:eastAsia="Times New Roman"/>
                <w:color w:val="000000"/>
              </w:rPr>
              <w:t>Couve Folha com folhas integra, de cor verde, de 1ª qualidade com molho viçoso, brilhante, fresco, sem excesso de umidade, sem sinais de amarelamento, com talos firmes, sem folhas escuras ou murchas, com grau de evolução completa do tamanho, livre de insetos, isenta de danos por qualquer lesão física ou mecânica,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4D76E4A" w14:textId="77777777" w:rsidR="00B266E9" w:rsidRPr="004C55D0" w:rsidRDefault="00000000" w:rsidP="0076611E">
            <w:pPr>
              <w:jc w:val="center"/>
              <w:rPr>
                <w:rFonts w:eastAsia="Times New Roman"/>
                <w:color w:val="000000"/>
              </w:rPr>
            </w:pPr>
            <w:r w:rsidRPr="004C55D0">
              <w:rPr>
                <w:rFonts w:eastAsia="Times New Roman"/>
                <w:color w:val="000000"/>
              </w:rPr>
              <w:t>Molho</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7AEE200" w14:textId="77777777" w:rsidR="00B266E9" w:rsidRPr="004C55D0" w:rsidRDefault="00000000" w:rsidP="0076611E">
            <w:pPr>
              <w:jc w:val="center"/>
              <w:rPr>
                <w:rFonts w:eastAsia="Times New Roman"/>
                <w:color w:val="000000"/>
              </w:rPr>
            </w:pPr>
            <w:r w:rsidRPr="004C55D0">
              <w:rPr>
                <w:rFonts w:eastAsia="Times New Roman"/>
                <w:color w:val="000000"/>
              </w:rPr>
              <w:t>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B210107" w14:textId="77777777" w:rsidR="00B266E9" w:rsidRPr="004C55D0" w:rsidRDefault="00000000" w:rsidP="0076611E">
            <w:pPr>
              <w:jc w:val="center"/>
              <w:rPr>
                <w:rFonts w:eastAsia="Times New Roman"/>
                <w:color w:val="000000"/>
              </w:rPr>
            </w:pPr>
            <w:r w:rsidRPr="004C55D0">
              <w:rPr>
                <w:rFonts w:eastAsia="Times New Roman"/>
                <w:color w:val="000000"/>
              </w:rPr>
              <w:t>3,33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C313A04" w14:textId="77777777" w:rsidR="00B266E9" w:rsidRPr="004C55D0" w:rsidRDefault="00000000" w:rsidP="0076611E">
            <w:pPr>
              <w:jc w:val="center"/>
              <w:rPr>
                <w:rFonts w:eastAsia="Times New Roman"/>
                <w:color w:val="000000"/>
              </w:rPr>
            </w:pPr>
            <w:r w:rsidRPr="004C55D0">
              <w:rPr>
                <w:rFonts w:eastAsia="Times New Roman"/>
                <w:color w:val="000000"/>
              </w:rPr>
              <w:t>1.665,00</w:t>
            </w:r>
          </w:p>
        </w:tc>
      </w:tr>
      <w:tr w:rsidR="00B266E9" w:rsidRPr="004C55D0" w14:paraId="663777B2" w14:textId="77777777" w:rsidTr="0076611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EFE1A7C" w14:textId="77777777" w:rsidR="00B266E9" w:rsidRPr="004C55D0" w:rsidRDefault="00000000" w:rsidP="0076611E">
            <w:pPr>
              <w:jc w:val="center"/>
              <w:rPr>
                <w:rFonts w:eastAsia="Times New Roman"/>
                <w:color w:val="000000"/>
              </w:rPr>
            </w:pPr>
            <w:r w:rsidRPr="004C55D0">
              <w:rPr>
                <w:rFonts w:eastAsia="Times New Roman"/>
                <w:color w:val="000000"/>
              </w:rPr>
              <w:t>15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54AF32C" w14:textId="14D84099" w:rsidR="00B266E9" w:rsidRPr="004C55D0" w:rsidRDefault="00000000" w:rsidP="0076611E">
            <w:pPr>
              <w:jc w:val="both"/>
              <w:rPr>
                <w:rFonts w:eastAsia="Times New Roman"/>
                <w:color w:val="000000"/>
              </w:rPr>
            </w:pPr>
            <w:r w:rsidRPr="004C55D0">
              <w:rPr>
                <w:rFonts w:eastAsia="Times New Roman"/>
                <w:color w:val="000000"/>
              </w:rPr>
              <w:t xml:space="preserve">Jerimum leite: fruto de porte </w:t>
            </w:r>
            <w:r w:rsidR="0076611E" w:rsidRPr="004C55D0">
              <w:rPr>
                <w:rFonts w:eastAsia="Times New Roman"/>
                <w:color w:val="000000"/>
              </w:rPr>
              <w:t>médio</w:t>
            </w:r>
            <w:r w:rsidRPr="004C55D0">
              <w:rPr>
                <w:rFonts w:eastAsia="Times New Roman"/>
                <w:color w:val="000000"/>
              </w:rPr>
              <w:t xml:space="preserve">/grande de boa qualidade, fresco e firme, apresentando tamanho uniforme e grau de </w:t>
            </w:r>
            <w:r w:rsidR="0076611E" w:rsidRPr="004C55D0">
              <w:rPr>
                <w:rFonts w:eastAsia="Times New Roman"/>
                <w:color w:val="000000"/>
              </w:rPr>
              <w:t>maturação</w:t>
            </w:r>
            <w:r w:rsidRPr="004C55D0">
              <w:rPr>
                <w:rFonts w:eastAsia="Times New Roman"/>
                <w:color w:val="000000"/>
              </w:rPr>
              <w:t xml:space="preserve"> tal, que permita suportar a </w:t>
            </w:r>
            <w:r w:rsidR="0076611E" w:rsidRPr="004C55D0">
              <w:rPr>
                <w:rFonts w:eastAsia="Times New Roman"/>
                <w:color w:val="000000"/>
              </w:rPr>
              <w:t>manipulação</w:t>
            </w:r>
            <w:r w:rsidRPr="004C55D0">
              <w:rPr>
                <w:rFonts w:eastAsia="Times New Roman"/>
                <w:color w:val="000000"/>
              </w:rPr>
              <w:t xml:space="preserve">, o transporte e a </w:t>
            </w:r>
            <w:r w:rsidR="0076611E" w:rsidRPr="004C55D0">
              <w:rPr>
                <w:rFonts w:eastAsia="Times New Roman"/>
                <w:color w:val="000000"/>
              </w:rPr>
              <w:t>conservação</w:t>
            </w:r>
            <w:r w:rsidRPr="004C55D0">
              <w:rPr>
                <w:rFonts w:eastAsia="Times New Roman"/>
                <w:color w:val="000000"/>
              </w:rPr>
              <w:t xml:space="preserve"> em </w:t>
            </w:r>
            <w:r w:rsidR="0076611E" w:rsidRPr="004C55D0">
              <w:rPr>
                <w:rFonts w:eastAsia="Times New Roman"/>
                <w:color w:val="000000"/>
              </w:rPr>
              <w:t>condições</w:t>
            </w:r>
            <w:r w:rsidRPr="004C55D0">
              <w:rPr>
                <w:rFonts w:eastAsia="Times New Roman"/>
                <w:color w:val="000000"/>
              </w:rPr>
              <w:t xml:space="preserve"> adequadas para o consumo mediato e imediato. </w:t>
            </w:r>
            <w:r w:rsidR="0076611E" w:rsidRPr="004C55D0">
              <w:rPr>
                <w:rFonts w:eastAsia="Times New Roman"/>
                <w:color w:val="000000"/>
              </w:rPr>
              <w:t>Não</w:t>
            </w:r>
            <w:r w:rsidRPr="004C55D0">
              <w:rPr>
                <w:rFonts w:eastAsia="Times New Roman"/>
                <w:color w:val="000000"/>
              </w:rPr>
              <w:t xml:space="preserve"> </w:t>
            </w:r>
            <w:r w:rsidR="0076611E" w:rsidRPr="004C55D0">
              <w:rPr>
                <w:rFonts w:eastAsia="Times New Roman"/>
                <w:color w:val="000000"/>
              </w:rPr>
              <w:t>serão</w:t>
            </w:r>
            <w:r w:rsidRPr="004C55D0">
              <w:rPr>
                <w:rFonts w:eastAsia="Times New Roman"/>
                <w:color w:val="000000"/>
              </w:rPr>
              <w:t xml:space="preserve"> aceitos defeitos graves de natureza </w:t>
            </w:r>
            <w:r w:rsidR="0076611E" w:rsidRPr="004C55D0">
              <w:rPr>
                <w:rFonts w:eastAsia="Times New Roman"/>
                <w:color w:val="000000"/>
              </w:rPr>
              <w:t>fitossanitária</w:t>
            </w:r>
            <w:r w:rsidRPr="004C55D0">
              <w:rPr>
                <w:rFonts w:eastAsia="Times New Roman"/>
                <w:color w:val="000000"/>
              </w:rPr>
              <w:t xml:space="preserve">, </w:t>
            </w:r>
            <w:r w:rsidR="0076611E" w:rsidRPr="004C55D0">
              <w:rPr>
                <w:rFonts w:eastAsia="Times New Roman"/>
                <w:color w:val="000000"/>
              </w:rPr>
              <w:t>fisiológicas</w:t>
            </w:r>
            <w:r w:rsidRPr="004C55D0">
              <w:rPr>
                <w:rFonts w:eastAsia="Times New Roman"/>
                <w:color w:val="000000"/>
              </w:rPr>
              <w:t xml:space="preserve"> e </w:t>
            </w:r>
            <w:r w:rsidR="0076611E" w:rsidRPr="004C55D0">
              <w:rPr>
                <w:rFonts w:eastAsia="Times New Roman"/>
                <w:color w:val="000000"/>
              </w:rPr>
              <w:t>mecânicas</w:t>
            </w:r>
            <w:r w:rsidRPr="004C55D0">
              <w:rPr>
                <w:rFonts w:eastAsia="Times New Roman"/>
                <w:color w:val="000000"/>
              </w:rPr>
              <w:t xml:space="preserve"> (</w:t>
            </w:r>
            <w:r w:rsidR="0076611E" w:rsidRPr="004C55D0">
              <w:rPr>
                <w:rFonts w:eastAsia="Times New Roman"/>
                <w:color w:val="000000"/>
              </w:rPr>
              <w:t>físicas</w:t>
            </w:r>
            <w:r w:rsidRPr="004C55D0">
              <w:rPr>
                <w:rFonts w:eastAsia="Times New Roman"/>
                <w:color w:val="000000"/>
              </w:rPr>
              <w:t xml:space="preserve">), que afetem sua qualidade e aspecto. Devem apresentar casca e polpa intactas e firmes. Com </w:t>
            </w:r>
            <w:r w:rsidR="0076611E" w:rsidRPr="004C55D0">
              <w:rPr>
                <w:rFonts w:eastAsia="Times New Roman"/>
                <w:color w:val="000000"/>
              </w:rPr>
              <w:t>ausência</w:t>
            </w:r>
            <w:r w:rsidRPr="004C55D0">
              <w:rPr>
                <w:rFonts w:eastAsia="Times New Roman"/>
                <w:color w:val="000000"/>
              </w:rPr>
              <w:t xml:space="preserve"> de sujidades, parasitas e larvas, de acordo com a </w:t>
            </w:r>
            <w:r w:rsidR="0076611E" w:rsidRPr="004C55D0">
              <w:rPr>
                <w:rFonts w:eastAsia="Times New Roman"/>
                <w:color w:val="000000"/>
              </w:rPr>
              <w:t>resolução</w:t>
            </w:r>
            <w:r w:rsidRPr="004C55D0">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75F96A8" w14:textId="77777777" w:rsidR="00B266E9" w:rsidRPr="004C55D0" w:rsidRDefault="00000000" w:rsidP="0076611E">
            <w:pPr>
              <w:jc w:val="center"/>
              <w:rPr>
                <w:rFonts w:eastAsia="Times New Roman"/>
                <w:color w:val="000000"/>
              </w:rPr>
            </w:pPr>
            <w:r w:rsidRPr="004C55D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923834C" w14:textId="77777777" w:rsidR="00B266E9" w:rsidRPr="004C55D0" w:rsidRDefault="00000000" w:rsidP="0076611E">
            <w:pPr>
              <w:jc w:val="center"/>
              <w:rPr>
                <w:rFonts w:eastAsia="Times New Roman"/>
                <w:color w:val="000000"/>
              </w:rPr>
            </w:pPr>
            <w:r w:rsidRPr="004C55D0">
              <w:rPr>
                <w:rFonts w:eastAsia="Times New Roman"/>
                <w:color w:val="000000"/>
              </w:rPr>
              <w:t>650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270D367" w14:textId="77777777" w:rsidR="00B266E9" w:rsidRPr="004C55D0" w:rsidRDefault="00000000" w:rsidP="0076611E">
            <w:pPr>
              <w:jc w:val="center"/>
              <w:rPr>
                <w:rFonts w:eastAsia="Times New Roman"/>
                <w:color w:val="000000"/>
              </w:rPr>
            </w:pPr>
            <w:r w:rsidRPr="004C55D0">
              <w:rPr>
                <w:rFonts w:eastAsia="Times New Roman"/>
                <w:color w:val="000000"/>
              </w:rPr>
              <w:t>5,00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D6AD342" w14:textId="77777777" w:rsidR="00B266E9" w:rsidRPr="004C55D0" w:rsidRDefault="00000000" w:rsidP="0076611E">
            <w:pPr>
              <w:jc w:val="center"/>
              <w:rPr>
                <w:rFonts w:eastAsia="Times New Roman"/>
                <w:color w:val="000000"/>
              </w:rPr>
            </w:pPr>
            <w:r w:rsidRPr="004C55D0">
              <w:rPr>
                <w:rFonts w:eastAsia="Times New Roman"/>
                <w:color w:val="000000"/>
              </w:rPr>
              <w:t>3.250,00</w:t>
            </w:r>
          </w:p>
        </w:tc>
      </w:tr>
      <w:tr w:rsidR="00B266E9" w:rsidRPr="004C55D0" w14:paraId="2029E17D" w14:textId="77777777" w:rsidTr="0076611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78F7D701" w14:textId="77777777" w:rsidR="00B266E9" w:rsidRPr="004C55D0" w:rsidRDefault="00000000" w:rsidP="0076611E">
            <w:pPr>
              <w:jc w:val="center"/>
              <w:rPr>
                <w:rFonts w:eastAsia="Times New Roman"/>
                <w:color w:val="000000"/>
              </w:rPr>
            </w:pPr>
            <w:r w:rsidRPr="004C55D0">
              <w:rPr>
                <w:rFonts w:eastAsia="Times New Roman"/>
                <w:color w:val="000000"/>
              </w:rPr>
              <w:t>18</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7003E6B" w14:textId="77777777" w:rsidR="00B266E9" w:rsidRPr="004C55D0" w:rsidRDefault="00000000" w:rsidP="0076611E">
            <w:pPr>
              <w:jc w:val="both"/>
              <w:rPr>
                <w:rFonts w:eastAsia="Times New Roman"/>
                <w:color w:val="000000"/>
              </w:rPr>
            </w:pPr>
            <w:r w:rsidRPr="004C55D0">
              <w:rPr>
                <w:rFonts w:eastAsia="Times New Roman"/>
                <w:color w:val="000000"/>
              </w:rPr>
              <w:t xml:space="preserve">Limão Tahiti: fruto fresco, tendo atingido o grau máximo do tamanho especificado, com aroma, cor e sabor característicos da espécie/variedade. Deverá apresentar grau de maturação tal, que </w:t>
            </w:r>
            <w:r w:rsidRPr="004C55D0">
              <w:rPr>
                <w:rFonts w:eastAsia="Times New Roman"/>
                <w:color w:val="000000"/>
              </w:rPr>
              <w:lastRenderedPageBreak/>
              <w:t>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F676EDB" w14:textId="77777777" w:rsidR="00B266E9" w:rsidRPr="004C55D0" w:rsidRDefault="00000000" w:rsidP="0076611E">
            <w:pPr>
              <w:jc w:val="center"/>
              <w:rPr>
                <w:rFonts w:eastAsia="Times New Roman"/>
                <w:color w:val="000000"/>
              </w:rPr>
            </w:pPr>
            <w:r w:rsidRPr="004C55D0">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E14952E" w14:textId="77777777" w:rsidR="00B266E9" w:rsidRPr="004C55D0" w:rsidRDefault="00000000" w:rsidP="0076611E">
            <w:pPr>
              <w:jc w:val="center"/>
              <w:rPr>
                <w:rFonts w:eastAsia="Times New Roman"/>
                <w:color w:val="000000"/>
              </w:rPr>
            </w:pPr>
            <w:r w:rsidRPr="004C55D0">
              <w:rPr>
                <w:rFonts w:eastAsia="Times New Roman"/>
                <w:color w:val="000000"/>
              </w:rPr>
              <w:t>650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6AC0CCE" w14:textId="77777777" w:rsidR="00B266E9" w:rsidRPr="004C55D0" w:rsidRDefault="00000000" w:rsidP="0076611E">
            <w:pPr>
              <w:jc w:val="center"/>
              <w:rPr>
                <w:rFonts w:eastAsia="Times New Roman"/>
                <w:color w:val="000000"/>
              </w:rPr>
            </w:pPr>
            <w:r w:rsidRPr="004C55D0">
              <w:rPr>
                <w:rFonts w:eastAsia="Times New Roman"/>
                <w:color w:val="000000"/>
              </w:rPr>
              <w:t>7,76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17427DB" w14:textId="77777777" w:rsidR="00B266E9" w:rsidRPr="004C55D0" w:rsidRDefault="00000000" w:rsidP="0076611E">
            <w:pPr>
              <w:jc w:val="center"/>
              <w:rPr>
                <w:rFonts w:eastAsia="Times New Roman"/>
                <w:color w:val="000000"/>
              </w:rPr>
            </w:pPr>
            <w:r w:rsidRPr="004C55D0">
              <w:rPr>
                <w:rFonts w:eastAsia="Times New Roman"/>
                <w:color w:val="000000"/>
              </w:rPr>
              <w:t>5.044,00</w:t>
            </w:r>
          </w:p>
        </w:tc>
      </w:tr>
      <w:tr w:rsidR="00B266E9" w:rsidRPr="004C55D0" w14:paraId="491C64A4" w14:textId="77777777" w:rsidTr="0076611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1BC4597" w14:textId="77777777" w:rsidR="00B266E9" w:rsidRPr="004C55D0" w:rsidRDefault="00000000" w:rsidP="0076611E">
            <w:pPr>
              <w:jc w:val="center"/>
              <w:rPr>
                <w:rFonts w:eastAsia="Times New Roman"/>
                <w:color w:val="000000"/>
              </w:rPr>
            </w:pPr>
            <w:r w:rsidRPr="004C55D0">
              <w:rPr>
                <w:rFonts w:eastAsia="Times New Roman"/>
                <w:color w:val="000000"/>
              </w:rPr>
              <w:t>26</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EC668C7" w14:textId="77777777" w:rsidR="00B266E9" w:rsidRPr="004C55D0" w:rsidRDefault="00000000" w:rsidP="0076611E">
            <w:pPr>
              <w:jc w:val="both"/>
              <w:rPr>
                <w:rFonts w:eastAsia="Times New Roman"/>
                <w:color w:val="000000"/>
              </w:rPr>
            </w:pPr>
            <w:r w:rsidRPr="004C55D0">
              <w:rPr>
                <w:rFonts w:eastAsia="Times New Roman"/>
                <w:color w:val="000000"/>
              </w:rPr>
              <w:t>Repolho, verde, de 1ª qualidade, in natura, tamanho e coloração uniforme, tenro, livre de folhas danificadas, sujidades, parasitas, larvas, resíduo de fertilizante. Deverá estar em perfeito estado para consumo, sem defeitos graves como podridão, amassado, murcho, deformado, descolorado, queimado de sol, com manchas, rachaduras, injúrias por pragas ou doenças. Embalado em sacos de polietileno, transparentes, atóxico e intacta.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CAE799C" w14:textId="77777777" w:rsidR="00B266E9" w:rsidRPr="004C55D0" w:rsidRDefault="00000000" w:rsidP="0076611E">
            <w:pPr>
              <w:jc w:val="center"/>
              <w:rPr>
                <w:rFonts w:eastAsia="Times New Roman"/>
                <w:color w:val="000000"/>
              </w:rPr>
            </w:pPr>
            <w:r w:rsidRPr="004C55D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C7BFB97" w14:textId="77777777" w:rsidR="00B266E9" w:rsidRPr="004C55D0" w:rsidRDefault="00000000" w:rsidP="0076611E">
            <w:pPr>
              <w:jc w:val="center"/>
              <w:rPr>
                <w:rFonts w:eastAsia="Times New Roman"/>
                <w:color w:val="000000"/>
              </w:rPr>
            </w:pPr>
            <w:r w:rsidRPr="004C55D0">
              <w:rPr>
                <w:rFonts w:eastAsia="Times New Roman"/>
                <w:color w:val="000000"/>
              </w:rPr>
              <w:t>1500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B6F7FE2" w14:textId="77777777" w:rsidR="00B266E9" w:rsidRPr="004C55D0" w:rsidRDefault="00000000" w:rsidP="0076611E">
            <w:pPr>
              <w:jc w:val="center"/>
              <w:rPr>
                <w:rFonts w:eastAsia="Times New Roman"/>
                <w:color w:val="000000"/>
              </w:rPr>
            </w:pPr>
            <w:r w:rsidRPr="004C55D0">
              <w:rPr>
                <w:rFonts w:eastAsia="Times New Roman"/>
                <w:color w:val="000000"/>
              </w:rPr>
              <w:t>6,63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F89EB80" w14:textId="77777777" w:rsidR="00B266E9" w:rsidRPr="004C55D0" w:rsidRDefault="00000000" w:rsidP="0076611E">
            <w:pPr>
              <w:jc w:val="center"/>
              <w:rPr>
                <w:rFonts w:eastAsia="Times New Roman"/>
                <w:color w:val="000000"/>
              </w:rPr>
            </w:pPr>
            <w:r w:rsidRPr="004C55D0">
              <w:rPr>
                <w:rFonts w:eastAsia="Times New Roman"/>
                <w:color w:val="000000"/>
              </w:rPr>
              <w:t>9.945,00</w:t>
            </w:r>
          </w:p>
        </w:tc>
      </w:tr>
      <w:tr w:rsidR="00B266E9" w:rsidRPr="004C55D0" w14:paraId="11897896" w14:textId="77777777" w:rsidTr="0076611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14DCAEE" w14:textId="77777777" w:rsidR="00B266E9" w:rsidRPr="004C55D0" w:rsidRDefault="00000000" w:rsidP="0076611E">
            <w:pPr>
              <w:jc w:val="center"/>
              <w:rPr>
                <w:rFonts w:eastAsia="Times New Roman"/>
                <w:color w:val="000000"/>
              </w:rPr>
            </w:pPr>
            <w:r w:rsidRPr="004C55D0">
              <w:rPr>
                <w:rFonts w:eastAsia="Times New Roman"/>
                <w:color w:val="000000"/>
              </w:rPr>
              <w:t>27</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06F071F" w14:textId="7214A61C" w:rsidR="00B266E9" w:rsidRPr="004C55D0" w:rsidRDefault="00000000" w:rsidP="0076611E">
            <w:pPr>
              <w:jc w:val="both"/>
              <w:rPr>
                <w:rFonts w:eastAsia="Times New Roman"/>
                <w:color w:val="000000"/>
              </w:rPr>
            </w:pPr>
            <w:r w:rsidRPr="004C55D0">
              <w:rPr>
                <w:rFonts w:eastAsia="Times New Roman"/>
                <w:color w:val="000000"/>
              </w:rPr>
              <w:t xml:space="preserve">Tomate: de </w:t>
            </w:r>
            <w:r w:rsidR="00235369" w:rsidRPr="004C55D0">
              <w:rPr>
                <w:rFonts w:eastAsia="Times New Roman"/>
                <w:color w:val="000000"/>
              </w:rPr>
              <w:t>início</w:t>
            </w:r>
            <w:r w:rsidRPr="004C55D0">
              <w:rPr>
                <w:rFonts w:eastAsia="Times New Roman"/>
                <w:color w:val="000000"/>
              </w:rPr>
              <w:t xml:space="preserve"> de </w:t>
            </w:r>
            <w:r w:rsidR="00235369" w:rsidRPr="004C55D0">
              <w:rPr>
                <w:rFonts w:eastAsia="Times New Roman"/>
                <w:color w:val="000000"/>
              </w:rPr>
              <w:t>maturação</w:t>
            </w:r>
            <w:r w:rsidRPr="004C55D0">
              <w:rPr>
                <w:rFonts w:eastAsia="Times New Roman"/>
                <w:color w:val="000000"/>
              </w:rPr>
              <w:t xml:space="preserve">, fruto de porte </w:t>
            </w:r>
            <w:r w:rsidR="00235369" w:rsidRPr="004C55D0">
              <w:rPr>
                <w:rFonts w:eastAsia="Times New Roman"/>
                <w:color w:val="000000"/>
              </w:rPr>
              <w:t>médio</w:t>
            </w:r>
            <w:r w:rsidRPr="004C55D0">
              <w:rPr>
                <w:rFonts w:eastAsia="Times New Roman"/>
                <w:color w:val="000000"/>
              </w:rPr>
              <w:t>/grande (</w:t>
            </w:r>
            <w:r w:rsidR="00235369" w:rsidRPr="004C55D0">
              <w:rPr>
                <w:rFonts w:eastAsia="Times New Roman"/>
                <w:color w:val="000000"/>
              </w:rPr>
              <w:t>graúdo</w:t>
            </w:r>
            <w:r w:rsidRPr="004C55D0">
              <w:rPr>
                <w:rFonts w:eastAsia="Times New Roman"/>
                <w:color w:val="000000"/>
              </w:rPr>
              <w:t xml:space="preserve">, aroma, cor e sabor </w:t>
            </w:r>
            <w:r w:rsidR="00235369" w:rsidRPr="004C55D0">
              <w:rPr>
                <w:rFonts w:eastAsia="Times New Roman"/>
                <w:color w:val="000000"/>
              </w:rPr>
              <w:t>próprios</w:t>
            </w:r>
            <w:r w:rsidRPr="004C55D0">
              <w:rPr>
                <w:rFonts w:eastAsia="Times New Roman"/>
                <w:color w:val="000000"/>
              </w:rPr>
              <w:t xml:space="preserve"> da </w:t>
            </w:r>
            <w:r w:rsidR="00235369" w:rsidRPr="004C55D0">
              <w:rPr>
                <w:rFonts w:eastAsia="Times New Roman"/>
                <w:color w:val="000000"/>
              </w:rPr>
              <w:t>espécie</w:t>
            </w:r>
            <w:r w:rsidRPr="004C55D0">
              <w:rPr>
                <w:rFonts w:eastAsia="Times New Roman"/>
                <w:color w:val="000000"/>
              </w:rPr>
              <w:t xml:space="preserve">) de boa qualidade, fresco e firme, apresentando tamanho uniforme e grau de </w:t>
            </w:r>
            <w:r w:rsidR="00235369" w:rsidRPr="004C55D0">
              <w:rPr>
                <w:rFonts w:eastAsia="Times New Roman"/>
                <w:color w:val="000000"/>
              </w:rPr>
              <w:t>maturação</w:t>
            </w:r>
            <w:r w:rsidRPr="004C55D0">
              <w:rPr>
                <w:rFonts w:eastAsia="Times New Roman"/>
                <w:color w:val="000000"/>
              </w:rPr>
              <w:t xml:space="preserve"> tal, que permita suportar a </w:t>
            </w:r>
            <w:r w:rsidR="00235369" w:rsidRPr="004C55D0">
              <w:rPr>
                <w:rFonts w:eastAsia="Times New Roman"/>
                <w:color w:val="000000"/>
              </w:rPr>
              <w:t>manipulação</w:t>
            </w:r>
            <w:r w:rsidRPr="004C55D0">
              <w:rPr>
                <w:rFonts w:eastAsia="Times New Roman"/>
                <w:color w:val="000000"/>
              </w:rPr>
              <w:t xml:space="preserve">, o transporte e a </w:t>
            </w:r>
            <w:r w:rsidR="00235369" w:rsidRPr="004C55D0">
              <w:rPr>
                <w:rFonts w:eastAsia="Times New Roman"/>
                <w:color w:val="000000"/>
              </w:rPr>
              <w:t>conservação</w:t>
            </w:r>
            <w:r w:rsidRPr="004C55D0">
              <w:rPr>
                <w:rFonts w:eastAsia="Times New Roman"/>
                <w:color w:val="000000"/>
              </w:rPr>
              <w:t xml:space="preserve"> em </w:t>
            </w:r>
            <w:r w:rsidR="00235369" w:rsidRPr="004C55D0">
              <w:rPr>
                <w:rFonts w:eastAsia="Times New Roman"/>
                <w:color w:val="000000"/>
              </w:rPr>
              <w:t>condições</w:t>
            </w:r>
            <w:r w:rsidRPr="004C55D0">
              <w:rPr>
                <w:rFonts w:eastAsia="Times New Roman"/>
                <w:color w:val="000000"/>
              </w:rPr>
              <w:t xml:space="preserve"> adequadas para o consumo mediato e imediato. </w:t>
            </w:r>
            <w:r w:rsidR="00235369" w:rsidRPr="004C55D0">
              <w:rPr>
                <w:rFonts w:eastAsia="Times New Roman"/>
                <w:color w:val="000000"/>
              </w:rPr>
              <w:t>Não</w:t>
            </w:r>
            <w:r w:rsidRPr="004C55D0">
              <w:rPr>
                <w:rFonts w:eastAsia="Times New Roman"/>
                <w:color w:val="000000"/>
              </w:rPr>
              <w:t xml:space="preserve"> </w:t>
            </w:r>
            <w:r w:rsidR="00235369" w:rsidRPr="004C55D0">
              <w:rPr>
                <w:rFonts w:eastAsia="Times New Roman"/>
                <w:color w:val="000000"/>
              </w:rPr>
              <w:t>serão</w:t>
            </w:r>
            <w:r w:rsidRPr="004C55D0">
              <w:rPr>
                <w:rFonts w:eastAsia="Times New Roman"/>
                <w:color w:val="000000"/>
              </w:rPr>
              <w:t xml:space="preserve"> aceitos defeitos graves de natureza </w:t>
            </w:r>
            <w:r w:rsidR="00235369" w:rsidRPr="004C55D0">
              <w:rPr>
                <w:rFonts w:eastAsia="Times New Roman"/>
                <w:color w:val="000000"/>
              </w:rPr>
              <w:t>fitossanitária</w:t>
            </w:r>
            <w:r w:rsidRPr="004C55D0">
              <w:rPr>
                <w:rFonts w:eastAsia="Times New Roman"/>
                <w:color w:val="000000"/>
              </w:rPr>
              <w:t xml:space="preserve">, </w:t>
            </w:r>
            <w:r w:rsidR="00235369" w:rsidRPr="004C55D0">
              <w:rPr>
                <w:rFonts w:eastAsia="Times New Roman"/>
                <w:color w:val="000000"/>
              </w:rPr>
              <w:t>fisiológicas</w:t>
            </w:r>
            <w:r w:rsidRPr="004C55D0">
              <w:rPr>
                <w:rFonts w:eastAsia="Times New Roman"/>
                <w:color w:val="000000"/>
              </w:rPr>
              <w:t xml:space="preserve"> e meca^nicas (</w:t>
            </w:r>
            <w:r w:rsidR="00235369" w:rsidRPr="004C55D0">
              <w:rPr>
                <w:rFonts w:eastAsia="Times New Roman"/>
                <w:color w:val="000000"/>
              </w:rPr>
              <w:t>físicas</w:t>
            </w:r>
            <w:r w:rsidRPr="004C55D0">
              <w:rPr>
                <w:rFonts w:eastAsia="Times New Roman"/>
                <w:color w:val="000000"/>
              </w:rPr>
              <w:t xml:space="preserve">), que afetem sua qualidade e aspecto. Devem apresentar casca e polpa intactas e firmes. De acordo com a </w:t>
            </w:r>
            <w:r w:rsidR="00235369" w:rsidRPr="004C55D0">
              <w:rPr>
                <w:rFonts w:eastAsia="Times New Roman"/>
                <w:color w:val="000000"/>
              </w:rPr>
              <w:t>Resolução</w:t>
            </w:r>
            <w:r w:rsidRPr="004C55D0">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E70F100" w14:textId="77777777" w:rsidR="00B266E9" w:rsidRPr="004C55D0" w:rsidRDefault="00000000" w:rsidP="0076611E">
            <w:pPr>
              <w:jc w:val="center"/>
              <w:rPr>
                <w:rFonts w:eastAsia="Times New Roman"/>
                <w:color w:val="000000"/>
              </w:rPr>
            </w:pPr>
            <w:r w:rsidRPr="004C55D0">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DDA6472" w14:textId="77777777" w:rsidR="00B266E9" w:rsidRPr="004C55D0" w:rsidRDefault="00000000" w:rsidP="0076611E">
            <w:pPr>
              <w:jc w:val="center"/>
              <w:rPr>
                <w:rFonts w:eastAsia="Times New Roman"/>
                <w:color w:val="000000"/>
              </w:rPr>
            </w:pPr>
            <w:r w:rsidRPr="004C55D0">
              <w:rPr>
                <w:rFonts w:eastAsia="Times New Roman"/>
                <w:color w:val="000000"/>
              </w:rPr>
              <w:t>1500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E4C2762" w14:textId="77777777" w:rsidR="00B266E9" w:rsidRPr="004C55D0" w:rsidRDefault="00000000" w:rsidP="0076611E">
            <w:pPr>
              <w:jc w:val="center"/>
              <w:rPr>
                <w:rFonts w:eastAsia="Times New Roman"/>
                <w:color w:val="000000"/>
              </w:rPr>
            </w:pPr>
            <w:r w:rsidRPr="004C55D0">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A8F9666" w14:textId="77777777" w:rsidR="00B266E9" w:rsidRPr="004C55D0" w:rsidRDefault="00000000" w:rsidP="0076611E">
            <w:pPr>
              <w:jc w:val="center"/>
              <w:rPr>
                <w:rFonts w:eastAsia="Times New Roman"/>
                <w:color w:val="000000"/>
              </w:rPr>
            </w:pPr>
            <w:r w:rsidRPr="004C55D0">
              <w:rPr>
                <w:rFonts w:eastAsia="Times New Roman"/>
                <w:color w:val="000000"/>
              </w:rPr>
              <w:t>10.500,00</w:t>
            </w:r>
          </w:p>
        </w:tc>
      </w:tr>
      <w:tr w:rsidR="00B266E9" w:rsidRPr="004C55D0" w14:paraId="6A883048"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61E3C870" w14:textId="77777777" w:rsidR="00B266E9" w:rsidRPr="004C55D0" w:rsidRDefault="00000000">
            <w:pPr>
              <w:jc w:val="both"/>
              <w:rPr>
                <w:rFonts w:eastAsia="Times New Roman"/>
                <w:color w:val="000000"/>
              </w:rPr>
            </w:pPr>
            <w:r w:rsidRPr="004C55D0">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7A8D687F" w14:textId="77777777" w:rsidR="00B266E9" w:rsidRPr="004C55D0" w:rsidRDefault="00000000">
            <w:pPr>
              <w:jc w:val="right"/>
              <w:rPr>
                <w:rFonts w:eastAsia="Times New Roman"/>
                <w:color w:val="000000"/>
              </w:rPr>
            </w:pPr>
            <w:r w:rsidRPr="004C55D0">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DEEBAFD" w14:textId="77777777" w:rsidR="00B266E9" w:rsidRPr="004C55D0" w:rsidRDefault="00000000">
            <w:pPr>
              <w:jc w:val="right"/>
              <w:rPr>
                <w:rFonts w:eastAsia="Times New Roman"/>
                <w:color w:val="000000"/>
              </w:rPr>
            </w:pPr>
            <w:r w:rsidRPr="004C55D0">
              <w:rPr>
                <w:rFonts w:eastAsia="Times New Roman"/>
                <w:color w:val="000000"/>
              </w:rPr>
              <w:t>34.277,75</w:t>
            </w:r>
          </w:p>
        </w:tc>
      </w:tr>
    </w:tbl>
    <w:p w14:paraId="05B13917"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7AE7CF4A"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QUARTA - DO REAJUSTAMENTO EM SENTIDO ESTRITO - REAJUSTE:</w:t>
      </w:r>
    </w:p>
    <w:p w14:paraId="2A0842F8"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Os preços contratados são fixos e irreajustáveis no prazo de um ano.</w:t>
      </w:r>
    </w:p>
    <w:p w14:paraId="19FDEBF4"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3D51AA89"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Nos reajustes subsequentes ao primeiro, o interregno mínimo de um ano será contado a partir dos efeitos financeiros do último reajuste.</w:t>
      </w:r>
    </w:p>
    <w:p w14:paraId="01081AC5"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2EF7B89B"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Nas aferições finais, o índice utilizado para reajuste será, obrigatoriamente, o definitivo.</w:t>
      </w:r>
    </w:p>
    <w:p w14:paraId="7071DF4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5B8EE139"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lastRenderedPageBreak/>
        <w:t>Na ausência de previsão legal quanto ao índice substituto, as partes elegerão novo índice oficial, para reajustamento do preço do valor remanescente, por meio de termo aditivo.</w:t>
      </w:r>
    </w:p>
    <w:p w14:paraId="13631BB4"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O registro da variação do valor contratual para fazer face ao reajuste de preços poderá ser realizado por simples apostila.</w:t>
      </w:r>
    </w:p>
    <w:p w14:paraId="5C2A939E"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124 a 136, da Lei 14.133/21.</w:t>
      </w:r>
    </w:p>
    <w:p w14:paraId="686DFC5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5E75D384"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QUINTA - DA DOTAÇÃO:</w:t>
      </w:r>
    </w:p>
    <w:p w14:paraId="69406736"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As despesas correrão por conta da seguinte dotação, constante do orçamento vigente:</w:t>
      </w:r>
    </w:p>
    <w:p w14:paraId="75B9EC42" w14:textId="7B5459DB"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RECURSOS NÃO VINCULADOS DE IMPOSTO DA PREFEITURA MUNICIPAL DE</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PRINCESA ISABEL; RECURSOS NÃO VINCULADOS DE IMPOSTO DO FUNDO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MUNICIPAL DE SAÚDE; RECURSOS NÃO VINCULADOS DE IMPOSTO DO FUNDO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MUNICIPAL DE ASSISTÊNCIA SOCIAL; RECURSOS NÃO VINCULADOS DE</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IMPOSTO DO PNAE.</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DOTAÇÕES ORÇAMENTÁRIA: 01.00 SEC. EXECUTIVA E DE ARTICULAÇÃO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POLÍTICA 04.122.2026.2002 (MANTER AS ATIVIDADES ADMINISTRATIVAS) 500</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(RECURSOS NÃO VINCULADOS DE IMPOSTO) 3.3.90.30.01 (MATERIAL DE</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CONSUMO); 02.00 (SEC. FINANCAS, ADMINISTRAÇÃO E PLANEJAMENTO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04.123.2026.2088 (MANTER AS ATIVIDADES DAS FINANÇAS) 500 (RECURSOS NÃO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VINCULADOS DE IMPOSTO) 3.3.90.30.01 (MATERIAL DE CONSUMO); 03.00 FUNDO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MUNICIPAL DE ASSISTÊNCIA SOCIAL 08.244.2026.2008 MANTER AS ATIVIDADES</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DA SECRETARIA DE ASSISTÊNCIA SOCIAL 500 (RECURSOS NÃO VINCULADOS</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DE IMPOSTO) 3.3.90.30.01 (MATERIAL DE CONSUMO); 04.00 SEC. INFRAESTRUTURA, MEIO AMBIENTE E AGRICULTURA 15.451.2026.2017 MANTER AS</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ATIVIDADES DE INFRA–ESTRUTURA URBANA 500 (RECURSOS NÃO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VINCULADOS DE IMPOSTO) 3.3.90.30.01 (MATERIAL DE CONSUMO); 06.00</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PROCURADORIA JURÍDICA 03.091.2026.2019 MANTER AS ATIVIDADES DA</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PROCURADORIA JURÍDICA 500 (RECURSOS NÃO VINCULADOS DE IMPOSTO)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3.3.90.30.01 (MATERIAL DE CONSUMO); 07.00 SEC. EDUCACAO, CULTURA,</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ESPO</w:t>
      </w:r>
      <w:r w:rsidR="00235369">
        <w:rPr>
          <w:rFonts w:ascii="Times New Roman" w:hAnsi="Times New Roman" w:cs="Times New Roman"/>
          <w:sz w:val="24"/>
          <w:szCs w:val="24"/>
        </w:rPr>
        <w:t>R</w:t>
      </w:r>
      <w:r w:rsidRPr="004C55D0">
        <w:rPr>
          <w:rFonts w:ascii="Times New Roman" w:hAnsi="Times New Roman" w:cs="Times New Roman"/>
          <w:sz w:val="24"/>
          <w:szCs w:val="24"/>
        </w:rPr>
        <w:t>TE E LAZER 12.361.2010.2096 (MANTER AS ATIV. DO ENSINO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FUNDAMENTAL – FUNDEB 30%) 540 (TRANSFERÊNCIAS DO FUNDEB – IMPOSTOS</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E TRANSFERÊNCIAS DE IMPOSTOS) 3.3.90.30.01 (MATERIAL DE CONSUMO); 08.00</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FUNDO MUNICIPAL DE SAUDE 10.301.4002.2134 (MANTER O FUNDO MUNICIPAL</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DE SAÚDE – 15%) 500 (RECURSOS NÃO VINCULADOS DE IMPOSTO) 3.3.90.30.01</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(MATERIAL DE CONSUMO); 10.301.4002.2129 MANTER AS ATIVIDADES DA</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ATENÇÃO BÁSICA  PAB 600 (TRANSFERÊNCIAS FUNDO A FUNDO DE</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RECURSOS DO SUS PROVENIENTES DO GOVERNO FEDERAL) 3.3.90.30.01</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MATERIAL DE CONSUMO, CONFORME QDD 2025, FICANDO</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AUTOMATICAMENTE INCORPORADAS AS DOTAÇÕES DO ORÇAMENTO ANUAL</w:t>
      </w:r>
      <w:r w:rsidR="00235369">
        <w:rPr>
          <w:rFonts w:ascii="Times New Roman" w:hAnsi="Times New Roman" w:cs="Times New Roman"/>
          <w:sz w:val="24"/>
          <w:szCs w:val="24"/>
        </w:rPr>
        <w:t xml:space="preserve"> </w:t>
      </w:r>
      <w:r w:rsidRPr="004C55D0">
        <w:rPr>
          <w:rFonts w:ascii="Times New Roman" w:hAnsi="Times New Roman" w:cs="Times New Roman"/>
          <w:sz w:val="24"/>
          <w:szCs w:val="24"/>
        </w:rPr>
        <w:t>(LOA) APROVADO POR LEI PARA O EXERCÍCIO SEGUINTE.</w:t>
      </w:r>
    </w:p>
    <w:p w14:paraId="78A998E8"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1D5C0314"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SEXTA - DO PAGAMENTO:</w:t>
      </w:r>
    </w:p>
    <w:p w14:paraId="6DEEE769"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141 a 146 da Lei 14.133/21; da seguinte maneira: Para ocorrer no prazo de trinta dias, contados do período de adimplemento.</w:t>
      </w:r>
    </w:p>
    <w:p w14:paraId="01309C7D"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40F005E8"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SÉTIMA - DO PRAZO E DA VIGÊNCIA:</w:t>
      </w:r>
    </w:p>
    <w:p w14:paraId="531F6C59"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778C7A2E"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a - Entrega: 3 (três) dias.</w:t>
      </w:r>
    </w:p>
    <w:p w14:paraId="63382D78"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lastRenderedPageBreak/>
        <w:t xml:space="preserve">A vigência do presente contrato será determinada: até 12/05/2026, considerada da data de sua assinatura; podendo ser prorrogada, nas hipóteses e nos termos dos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105 a 114, da Lei 14.133/21.</w:t>
      </w:r>
    </w:p>
    <w:p w14:paraId="7D35510C"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01732E40"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OITAVA - DAS OBRIGAÇÕES DO CONTRATANTE:</w:t>
      </w:r>
    </w:p>
    <w:p w14:paraId="3AC20E83"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a - Efetuar o pagamento relativo ao fornecimento efetivamente realizado, de acordo com as respectivas cláusulas do presente contrato;</w:t>
      </w:r>
    </w:p>
    <w:p w14:paraId="41B39973"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b - Proporcionar ao Contratado todos os meios necessários para o fiel fornecimento contratado;</w:t>
      </w:r>
    </w:p>
    <w:p w14:paraId="22129843"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3E6800C1"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36F1D1B8"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e - Observar, em compatibilidade com o objeto deste contrato, as disposições dos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115 a 123 da Lei 14.133/21.</w:t>
      </w:r>
    </w:p>
    <w:p w14:paraId="76073F01"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0F090E4A"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NONA - DAS OBRIGAÇÕES DO CONTRATADO:</w:t>
      </w:r>
    </w:p>
    <w:p w14:paraId="6975E959"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6B85EB93"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0BAB43FE"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c - Manter preposto capacitado e idôneo, aceito pelo Contratante, quando da execução do contrato, que o represente integralmente em todos os seus atos;</w:t>
      </w:r>
    </w:p>
    <w:p w14:paraId="445C15CE"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d - Permitir e facilitar a fiscalização do Contratante devendo prestar os informes e esclarecimentos solicitados;</w:t>
      </w:r>
    </w:p>
    <w:p w14:paraId="1BBD51F6"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48FE00D7"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537313F7"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00D1DF19"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0E6878EF"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i - Observar, em compatibilidade com o objeto deste contrato, as disposições dos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115 a 123 da Lei 14.133/21.</w:t>
      </w:r>
    </w:p>
    <w:p w14:paraId="58F41ACD"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27B515BC"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DÉCIMA - DA ALTERAÇÃO E EXTINÇÃO:</w:t>
      </w:r>
    </w:p>
    <w:p w14:paraId="690F94A0"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xml:space="preserve">. 124 a 136 e sua extinção, formalmente motivada </w:t>
      </w:r>
      <w:r w:rsidRPr="004C55D0">
        <w:rPr>
          <w:rFonts w:ascii="Times New Roman" w:hAnsi="Times New Roman" w:cs="Times New Roman"/>
          <w:sz w:val="24"/>
          <w:szCs w:val="24"/>
        </w:rPr>
        <w:lastRenderedPageBreak/>
        <w:t xml:space="preserve">nos autos do processo, assegurados o contraditório e a ampla defesa, ocorrerá nas hipóteses e disposições dos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137 a 139, todos da Lei 14.133/21.</w:t>
      </w:r>
    </w:p>
    <w:p w14:paraId="15C5BB55"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5DB0735C"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55467533"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DÉCIMA PRIMEIRA - DO RECEBIMENTO:</w:t>
      </w:r>
    </w:p>
    <w:p w14:paraId="0B0B0B2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41B6D684"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1E506484"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DÉCIMA SEGUNDA - DAS PENALIDADES:</w:t>
      </w:r>
    </w:p>
    <w:p w14:paraId="0D2CD846"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4C55D0">
        <w:rPr>
          <w:rFonts w:ascii="Times New Roman" w:hAnsi="Times New Roman" w:cs="Times New Roman"/>
          <w:sz w:val="24"/>
          <w:szCs w:val="24"/>
        </w:rPr>
        <w:t>Arts</w:t>
      </w:r>
      <w:proofErr w:type="spellEnd"/>
      <w:r w:rsidRPr="004C55D0">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C71B160"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00AE6F58"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3EF230AD"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DÉCIMA TERCEIRA - DA COMPENSAÇÃO FINANCEIRA:</w:t>
      </w:r>
    </w:p>
    <w:p w14:paraId="6C422F0B"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w:t>
      </w:r>
      <w:r w:rsidRPr="004C55D0">
        <w:rPr>
          <w:rFonts w:ascii="Times New Roman" w:hAnsi="Times New Roman" w:cs="Times New Roman"/>
          <w:sz w:val="24"/>
          <w:szCs w:val="24"/>
        </w:rPr>
        <w:lastRenderedPageBreak/>
        <w:t>forma não possa mais ser utilizado, será adotado, em substituição, o que vier a ser determinado pela legislação então em vigor.</w:t>
      </w:r>
    </w:p>
    <w:p w14:paraId="4213A844"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072B0881"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DÉCIMA QUARTA - DAS OBRIGAÇÕES PERTINENTES À LGPD:</w:t>
      </w:r>
    </w:p>
    <w:p w14:paraId="18F20180"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a - As partes contratantes deverão cumprir a Lei nº 13.709, de 14 de </w:t>
      </w:r>
      <w:proofErr w:type="gramStart"/>
      <w:r w:rsidRPr="004C55D0">
        <w:rPr>
          <w:rFonts w:ascii="Times New Roman" w:hAnsi="Times New Roman" w:cs="Times New Roman"/>
          <w:sz w:val="24"/>
          <w:szCs w:val="24"/>
        </w:rPr>
        <w:t>Agosto</w:t>
      </w:r>
      <w:proofErr w:type="gramEnd"/>
      <w:r w:rsidRPr="004C55D0">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17304DAA"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33203525"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c - É vedado o compartilhamento com terceiros de qualquer dado obtido, fora das hipóteses permitidas em Lei.</w:t>
      </w:r>
    </w:p>
    <w:p w14:paraId="75A3A3BB"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21CD2E3A"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e - O Contratante deverá ser informado, no prazo de cinco dias úteis sobre todos os contratos de </w:t>
      </w:r>
      <w:proofErr w:type="spellStart"/>
      <w:r w:rsidRPr="004C55D0">
        <w:rPr>
          <w:rFonts w:ascii="Times New Roman" w:hAnsi="Times New Roman" w:cs="Times New Roman"/>
          <w:sz w:val="24"/>
          <w:szCs w:val="24"/>
        </w:rPr>
        <w:t>suboperação</w:t>
      </w:r>
      <w:proofErr w:type="spellEnd"/>
      <w:r w:rsidRPr="004C55D0">
        <w:rPr>
          <w:rFonts w:ascii="Times New Roman" w:hAnsi="Times New Roman" w:cs="Times New Roman"/>
          <w:sz w:val="24"/>
          <w:szCs w:val="24"/>
        </w:rPr>
        <w:t xml:space="preserve"> firmados ou que venham a ser celebrados pelo Contratado.</w:t>
      </w:r>
    </w:p>
    <w:p w14:paraId="5773331F"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xml:space="preserve">f - O Contratado deverá exigir de </w:t>
      </w:r>
      <w:proofErr w:type="spellStart"/>
      <w:r w:rsidRPr="004C55D0">
        <w:rPr>
          <w:rFonts w:ascii="Times New Roman" w:hAnsi="Times New Roman" w:cs="Times New Roman"/>
          <w:sz w:val="24"/>
          <w:szCs w:val="24"/>
        </w:rPr>
        <w:t>suboperadores</w:t>
      </w:r>
      <w:proofErr w:type="spellEnd"/>
      <w:r w:rsidRPr="004C55D0">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797D141C"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4E796CEF"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2354E2EB"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0A921FE6"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22DE7BD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4C40E2C8"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7048F509" w14:textId="77777777" w:rsidR="00B266E9" w:rsidRPr="004C55D0" w:rsidRDefault="00000000">
      <w:pPr>
        <w:pStyle w:val="Ttulo2"/>
        <w:rPr>
          <w:rFonts w:ascii="Times New Roman" w:eastAsia="Times New Roman" w:hAnsi="Times New Roman" w:cs="Times New Roman"/>
          <w:sz w:val="24"/>
          <w:szCs w:val="24"/>
        </w:rPr>
      </w:pPr>
      <w:r w:rsidRPr="004C55D0">
        <w:rPr>
          <w:rFonts w:ascii="Times New Roman" w:eastAsia="Times New Roman" w:hAnsi="Times New Roman" w:cs="Times New Roman"/>
          <w:sz w:val="24"/>
          <w:szCs w:val="24"/>
        </w:rPr>
        <w:t>CLÁUSULA DÉCIMA QUINTA - DO FORO:</w:t>
      </w:r>
    </w:p>
    <w:p w14:paraId="39ED4711"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Para dirimir as questões decorrentes deste contrato, as partes elegem o Foro da Comarca de Princesa Isabel.</w:t>
      </w:r>
    </w:p>
    <w:p w14:paraId="5ECC271F"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5905C93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E, por estarem de pleno acordo, foi lavrado o presente contrato em 02(duas) vias, o qual vai assinado pelas partes e por duas testemunhas.</w:t>
      </w:r>
    </w:p>
    <w:p w14:paraId="4E046372" w14:textId="77777777" w:rsidR="00B266E9"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7FAB94D8" w14:textId="77777777" w:rsidR="00235369" w:rsidRDefault="00235369">
      <w:pPr>
        <w:pStyle w:val="NormalWeb"/>
        <w:rPr>
          <w:rFonts w:ascii="Times New Roman" w:hAnsi="Times New Roman" w:cs="Times New Roman"/>
          <w:sz w:val="24"/>
          <w:szCs w:val="24"/>
        </w:rPr>
      </w:pPr>
    </w:p>
    <w:p w14:paraId="48DB0323" w14:textId="77777777" w:rsidR="00235369" w:rsidRPr="004C55D0" w:rsidRDefault="00235369">
      <w:pPr>
        <w:pStyle w:val="NormalWeb"/>
        <w:rPr>
          <w:rFonts w:ascii="Times New Roman" w:hAnsi="Times New Roman" w:cs="Times New Roman"/>
          <w:sz w:val="24"/>
          <w:szCs w:val="24"/>
        </w:rPr>
      </w:pPr>
    </w:p>
    <w:p w14:paraId="1967F5EA" w14:textId="77777777" w:rsidR="00B266E9" w:rsidRDefault="00000000" w:rsidP="00235369">
      <w:pPr>
        <w:pStyle w:val="NormalWeb"/>
        <w:jc w:val="center"/>
        <w:rPr>
          <w:rFonts w:ascii="Times New Roman" w:hAnsi="Times New Roman" w:cs="Times New Roman"/>
          <w:sz w:val="24"/>
          <w:szCs w:val="24"/>
        </w:rPr>
      </w:pPr>
      <w:r w:rsidRPr="004C55D0">
        <w:rPr>
          <w:rFonts w:ascii="Times New Roman" w:hAnsi="Times New Roman" w:cs="Times New Roman"/>
          <w:sz w:val="24"/>
          <w:szCs w:val="24"/>
        </w:rPr>
        <w:t xml:space="preserve">Princesa Isabel - PB, 12 de </w:t>
      </w:r>
      <w:proofErr w:type="gramStart"/>
      <w:r w:rsidRPr="004C55D0">
        <w:rPr>
          <w:rFonts w:ascii="Times New Roman" w:hAnsi="Times New Roman" w:cs="Times New Roman"/>
          <w:sz w:val="24"/>
          <w:szCs w:val="24"/>
        </w:rPr>
        <w:t>Maio</w:t>
      </w:r>
      <w:proofErr w:type="gramEnd"/>
      <w:r w:rsidRPr="004C55D0">
        <w:rPr>
          <w:rFonts w:ascii="Times New Roman" w:hAnsi="Times New Roman" w:cs="Times New Roman"/>
          <w:sz w:val="24"/>
          <w:szCs w:val="24"/>
        </w:rPr>
        <w:t xml:space="preserve"> de 2025.</w:t>
      </w:r>
    </w:p>
    <w:p w14:paraId="42C1A8A3" w14:textId="77777777" w:rsidR="00235369" w:rsidRDefault="00235369" w:rsidP="00235369">
      <w:pPr>
        <w:pStyle w:val="NormalWeb"/>
        <w:jc w:val="center"/>
        <w:rPr>
          <w:rFonts w:ascii="Times New Roman" w:hAnsi="Times New Roman" w:cs="Times New Roman"/>
          <w:sz w:val="24"/>
          <w:szCs w:val="24"/>
        </w:rPr>
      </w:pPr>
    </w:p>
    <w:p w14:paraId="3B1BDF0D" w14:textId="77777777" w:rsidR="00235369" w:rsidRPr="004C55D0" w:rsidRDefault="00235369" w:rsidP="00235369">
      <w:pPr>
        <w:pStyle w:val="NormalWeb"/>
        <w:jc w:val="center"/>
        <w:rPr>
          <w:rFonts w:ascii="Times New Roman" w:hAnsi="Times New Roman" w:cs="Times New Roman"/>
          <w:sz w:val="24"/>
          <w:szCs w:val="24"/>
        </w:rPr>
      </w:pPr>
    </w:p>
    <w:p w14:paraId="4451E24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lastRenderedPageBreak/>
        <w:t> </w:t>
      </w:r>
    </w:p>
    <w:tbl>
      <w:tblPr>
        <w:tblW w:w="5000" w:type="pct"/>
        <w:tblCellMar>
          <w:left w:w="0" w:type="dxa"/>
          <w:right w:w="0" w:type="dxa"/>
        </w:tblCellMar>
        <w:tblLook w:val="04A0" w:firstRow="1" w:lastRow="0" w:firstColumn="1" w:lastColumn="0" w:noHBand="0" w:noVBand="1"/>
      </w:tblPr>
      <w:tblGrid>
        <w:gridCol w:w="5000"/>
        <w:gridCol w:w="5205"/>
      </w:tblGrid>
      <w:tr w:rsidR="00B266E9" w:rsidRPr="004C55D0" w14:paraId="0399C2E0" w14:textId="77777777">
        <w:tc>
          <w:tcPr>
            <w:tcW w:w="5000" w:type="dxa"/>
            <w:tcBorders>
              <w:top w:val="nil"/>
              <w:left w:val="nil"/>
              <w:bottom w:val="nil"/>
              <w:right w:val="nil"/>
            </w:tcBorders>
            <w:tcMar>
              <w:top w:w="0" w:type="dxa"/>
              <w:left w:w="0" w:type="dxa"/>
              <w:bottom w:w="0" w:type="dxa"/>
              <w:right w:w="200" w:type="dxa"/>
            </w:tcMar>
            <w:hideMark/>
          </w:tcPr>
          <w:p w14:paraId="1461C610" w14:textId="77777777" w:rsidR="00B266E9" w:rsidRPr="004C55D0" w:rsidRDefault="00000000">
            <w:pPr>
              <w:pStyle w:val="NormalWeb"/>
              <w:jc w:val="left"/>
              <w:rPr>
                <w:rFonts w:ascii="Times New Roman" w:hAnsi="Times New Roman" w:cs="Times New Roman"/>
                <w:sz w:val="24"/>
                <w:szCs w:val="24"/>
              </w:rPr>
            </w:pPr>
            <w:r w:rsidRPr="004C55D0">
              <w:rPr>
                <w:rFonts w:ascii="Times New Roman" w:hAnsi="Times New Roman" w:cs="Times New Roman"/>
                <w:sz w:val="24"/>
                <w:szCs w:val="24"/>
              </w:rPr>
              <w:t>TESTEMUNHAS</w:t>
            </w:r>
          </w:p>
          <w:p w14:paraId="05F7FD40"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15BB44E3" w14:textId="77777777" w:rsidR="00B266E9"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09FBCFFB" w14:textId="77777777" w:rsidR="00235369" w:rsidRDefault="00235369">
            <w:pPr>
              <w:pStyle w:val="NormalWeb"/>
              <w:rPr>
                <w:rFonts w:ascii="Times New Roman" w:hAnsi="Times New Roman" w:cs="Times New Roman"/>
                <w:sz w:val="24"/>
                <w:szCs w:val="24"/>
              </w:rPr>
            </w:pPr>
          </w:p>
          <w:p w14:paraId="467390A6" w14:textId="77777777" w:rsidR="00235369" w:rsidRDefault="00235369">
            <w:pPr>
              <w:pStyle w:val="NormalWeb"/>
              <w:rPr>
                <w:rFonts w:ascii="Times New Roman" w:hAnsi="Times New Roman" w:cs="Times New Roman"/>
                <w:sz w:val="24"/>
                <w:szCs w:val="24"/>
              </w:rPr>
            </w:pPr>
          </w:p>
          <w:p w14:paraId="23238416" w14:textId="77777777" w:rsidR="00235369" w:rsidRPr="004C55D0" w:rsidRDefault="00235369">
            <w:pPr>
              <w:pStyle w:val="NormalWeb"/>
              <w:rPr>
                <w:rFonts w:ascii="Times New Roman" w:hAnsi="Times New Roman" w:cs="Times New Roman"/>
                <w:sz w:val="24"/>
                <w:szCs w:val="24"/>
              </w:rPr>
            </w:pPr>
          </w:p>
          <w:p w14:paraId="4C4E7AA0" w14:textId="77777777" w:rsidR="00B266E9" w:rsidRPr="004C55D0" w:rsidRDefault="00000000">
            <w:pPr>
              <w:pStyle w:val="NormalWeb"/>
              <w:jc w:val="left"/>
              <w:rPr>
                <w:rFonts w:ascii="Times New Roman" w:hAnsi="Times New Roman" w:cs="Times New Roman"/>
                <w:sz w:val="24"/>
                <w:szCs w:val="24"/>
              </w:rPr>
            </w:pPr>
            <w:r w:rsidRPr="004C55D0">
              <w:rPr>
                <w:rFonts w:ascii="Times New Roman" w:hAnsi="Times New Roman" w:cs="Times New Roman"/>
                <w:sz w:val="24"/>
                <w:szCs w:val="24"/>
              </w:rPr>
              <w:t>_____________________________________</w:t>
            </w:r>
          </w:p>
          <w:p w14:paraId="79C334DF" w14:textId="747B0427" w:rsidR="00B266E9" w:rsidRPr="004C55D0" w:rsidRDefault="00235369">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50D04CAA"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621A071F"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1B9029A6"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049A82AD"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3693D142"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5FCFA379" w14:textId="77777777" w:rsidR="00B266E9"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56FF7E87" w14:textId="77777777" w:rsidR="00235369" w:rsidRDefault="00235369">
            <w:pPr>
              <w:pStyle w:val="NormalWeb"/>
              <w:rPr>
                <w:rFonts w:ascii="Times New Roman" w:hAnsi="Times New Roman" w:cs="Times New Roman"/>
                <w:sz w:val="24"/>
                <w:szCs w:val="24"/>
              </w:rPr>
            </w:pPr>
          </w:p>
          <w:p w14:paraId="509F9834" w14:textId="77777777" w:rsidR="00235369" w:rsidRDefault="00235369">
            <w:pPr>
              <w:pStyle w:val="NormalWeb"/>
              <w:rPr>
                <w:rFonts w:ascii="Times New Roman" w:hAnsi="Times New Roman" w:cs="Times New Roman"/>
                <w:sz w:val="24"/>
                <w:szCs w:val="24"/>
              </w:rPr>
            </w:pPr>
          </w:p>
          <w:p w14:paraId="55853C2C" w14:textId="77777777" w:rsidR="00235369" w:rsidRDefault="00235369">
            <w:pPr>
              <w:pStyle w:val="NormalWeb"/>
              <w:rPr>
                <w:rFonts w:ascii="Times New Roman" w:hAnsi="Times New Roman" w:cs="Times New Roman"/>
                <w:sz w:val="24"/>
                <w:szCs w:val="24"/>
              </w:rPr>
            </w:pPr>
          </w:p>
          <w:p w14:paraId="5D7CBB21" w14:textId="77777777" w:rsidR="00235369" w:rsidRDefault="00235369">
            <w:pPr>
              <w:pStyle w:val="NormalWeb"/>
              <w:rPr>
                <w:rFonts w:ascii="Times New Roman" w:hAnsi="Times New Roman" w:cs="Times New Roman"/>
                <w:sz w:val="24"/>
                <w:szCs w:val="24"/>
              </w:rPr>
            </w:pPr>
          </w:p>
          <w:p w14:paraId="0AC04106" w14:textId="77777777" w:rsidR="00235369" w:rsidRDefault="00235369">
            <w:pPr>
              <w:pStyle w:val="NormalWeb"/>
              <w:rPr>
                <w:rFonts w:ascii="Times New Roman" w:hAnsi="Times New Roman" w:cs="Times New Roman"/>
                <w:sz w:val="24"/>
                <w:szCs w:val="24"/>
              </w:rPr>
            </w:pPr>
          </w:p>
          <w:p w14:paraId="52D0E74F" w14:textId="77777777" w:rsidR="00235369" w:rsidRPr="004C55D0" w:rsidRDefault="00235369">
            <w:pPr>
              <w:pStyle w:val="NormalWeb"/>
              <w:pBdr>
                <w:bottom w:val="single" w:sz="12" w:space="1" w:color="auto"/>
              </w:pBdr>
              <w:rPr>
                <w:rFonts w:ascii="Times New Roman" w:hAnsi="Times New Roman" w:cs="Times New Roman"/>
                <w:sz w:val="24"/>
                <w:szCs w:val="24"/>
              </w:rPr>
            </w:pPr>
          </w:p>
          <w:p w14:paraId="3BBF3246" w14:textId="2472E34D" w:rsidR="00235369" w:rsidRPr="004C55D0" w:rsidRDefault="00235369">
            <w:pPr>
              <w:pStyle w:val="NormalWeb"/>
              <w:jc w:val="left"/>
              <w:rPr>
                <w:rFonts w:ascii="Times New Roman" w:hAnsi="Times New Roman" w:cs="Times New Roman"/>
                <w:sz w:val="24"/>
                <w:szCs w:val="24"/>
              </w:rPr>
            </w:pPr>
            <w:proofErr w:type="gramStart"/>
            <w:r>
              <w:rPr>
                <w:rFonts w:ascii="Times New Roman" w:hAnsi="Times New Roman" w:cs="Times New Roman"/>
                <w:sz w:val="24"/>
                <w:szCs w:val="24"/>
              </w:rPr>
              <w:t>CPF::</w:t>
            </w:r>
            <w:proofErr w:type="gramEnd"/>
            <w:r>
              <w:rPr>
                <w:rFonts w:ascii="Times New Roman" w:hAnsi="Times New Roman" w:cs="Times New Roman"/>
                <w:sz w:val="24"/>
                <w:szCs w:val="24"/>
              </w:rPr>
              <w:t xml:space="preserve"> </w:t>
            </w:r>
          </w:p>
        </w:tc>
        <w:tc>
          <w:tcPr>
            <w:tcW w:w="0" w:type="auto"/>
            <w:tcBorders>
              <w:top w:val="nil"/>
              <w:left w:val="nil"/>
              <w:bottom w:val="nil"/>
              <w:right w:val="nil"/>
            </w:tcBorders>
            <w:tcMar>
              <w:top w:w="0" w:type="dxa"/>
              <w:left w:w="200" w:type="dxa"/>
              <w:bottom w:w="0" w:type="dxa"/>
              <w:right w:w="0" w:type="dxa"/>
            </w:tcMar>
            <w:hideMark/>
          </w:tcPr>
          <w:p w14:paraId="30F86EB0" w14:textId="77777777" w:rsidR="00B266E9" w:rsidRPr="004C55D0" w:rsidRDefault="00000000">
            <w:pPr>
              <w:pStyle w:val="NormalWeb"/>
              <w:jc w:val="left"/>
              <w:rPr>
                <w:rFonts w:ascii="Times New Roman" w:hAnsi="Times New Roman" w:cs="Times New Roman"/>
                <w:sz w:val="24"/>
                <w:szCs w:val="24"/>
              </w:rPr>
            </w:pPr>
            <w:r w:rsidRPr="004C55D0">
              <w:rPr>
                <w:rFonts w:ascii="Times New Roman" w:hAnsi="Times New Roman" w:cs="Times New Roman"/>
                <w:sz w:val="24"/>
                <w:szCs w:val="24"/>
              </w:rPr>
              <w:t>PELO CONTRATANTE</w:t>
            </w:r>
          </w:p>
          <w:p w14:paraId="45BB25D0" w14:textId="77777777"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37A6682A" w14:textId="77777777" w:rsidR="00B266E9"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1ED96955" w14:textId="77777777" w:rsidR="00235369" w:rsidRDefault="00235369">
            <w:pPr>
              <w:pStyle w:val="NormalWeb"/>
              <w:rPr>
                <w:rFonts w:ascii="Times New Roman" w:hAnsi="Times New Roman" w:cs="Times New Roman"/>
                <w:sz w:val="24"/>
                <w:szCs w:val="24"/>
              </w:rPr>
            </w:pPr>
          </w:p>
          <w:p w14:paraId="1EE9EB49" w14:textId="77777777" w:rsidR="00235369" w:rsidRDefault="00235369">
            <w:pPr>
              <w:pStyle w:val="NormalWeb"/>
              <w:rPr>
                <w:rFonts w:ascii="Times New Roman" w:hAnsi="Times New Roman" w:cs="Times New Roman"/>
                <w:sz w:val="24"/>
                <w:szCs w:val="24"/>
              </w:rPr>
            </w:pPr>
          </w:p>
          <w:p w14:paraId="4E0DC043" w14:textId="77777777" w:rsidR="00235369" w:rsidRPr="004C55D0" w:rsidRDefault="00235369">
            <w:pPr>
              <w:pStyle w:val="NormalWeb"/>
              <w:rPr>
                <w:rFonts w:ascii="Times New Roman" w:hAnsi="Times New Roman" w:cs="Times New Roman"/>
                <w:sz w:val="24"/>
                <w:szCs w:val="24"/>
              </w:rPr>
            </w:pPr>
          </w:p>
          <w:p w14:paraId="05F6F7AA" w14:textId="77777777" w:rsidR="00B266E9" w:rsidRPr="004C55D0" w:rsidRDefault="00000000">
            <w:pPr>
              <w:pStyle w:val="NormalWeb"/>
              <w:jc w:val="left"/>
              <w:rPr>
                <w:rFonts w:ascii="Times New Roman" w:hAnsi="Times New Roman" w:cs="Times New Roman"/>
                <w:sz w:val="24"/>
                <w:szCs w:val="24"/>
              </w:rPr>
            </w:pPr>
            <w:r w:rsidRPr="004C55D0">
              <w:rPr>
                <w:rFonts w:ascii="Times New Roman" w:hAnsi="Times New Roman" w:cs="Times New Roman"/>
                <w:sz w:val="24"/>
                <w:szCs w:val="24"/>
              </w:rPr>
              <w:t>_____________________________________</w:t>
            </w:r>
          </w:p>
          <w:p w14:paraId="16AEC485" w14:textId="5115B6B3" w:rsidR="00235369" w:rsidRPr="00235369" w:rsidRDefault="00235369">
            <w:pPr>
              <w:pStyle w:val="NormalWeb"/>
              <w:jc w:val="left"/>
              <w:rPr>
                <w:rFonts w:ascii="Times New Roman" w:hAnsi="Times New Roman" w:cs="Times New Roman"/>
                <w:b/>
                <w:bCs/>
                <w:sz w:val="24"/>
                <w:szCs w:val="24"/>
              </w:rPr>
            </w:pPr>
            <w:r w:rsidRPr="00235369">
              <w:rPr>
                <w:rFonts w:ascii="Times New Roman" w:hAnsi="Times New Roman" w:cs="Times New Roman"/>
                <w:b/>
                <w:bCs/>
                <w:sz w:val="24"/>
                <w:szCs w:val="24"/>
              </w:rPr>
              <w:t>PREFEITURA DE PRINCESA ISABEL</w:t>
            </w:r>
          </w:p>
          <w:p w14:paraId="6E87F784" w14:textId="371E0B93" w:rsidR="00B266E9" w:rsidRPr="00235369" w:rsidRDefault="00000000">
            <w:pPr>
              <w:pStyle w:val="NormalWeb"/>
              <w:jc w:val="left"/>
              <w:rPr>
                <w:rFonts w:ascii="Times New Roman" w:hAnsi="Times New Roman" w:cs="Times New Roman"/>
                <w:b/>
                <w:bCs/>
                <w:sz w:val="24"/>
                <w:szCs w:val="24"/>
              </w:rPr>
            </w:pPr>
            <w:r w:rsidRPr="00235369">
              <w:rPr>
                <w:rFonts w:ascii="Times New Roman" w:hAnsi="Times New Roman" w:cs="Times New Roman"/>
                <w:b/>
                <w:bCs/>
                <w:sz w:val="24"/>
                <w:szCs w:val="24"/>
              </w:rPr>
              <w:t>EDNALDO DE MELO</w:t>
            </w:r>
          </w:p>
          <w:p w14:paraId="712F7D15" w14:textId="77777777" w:rsidR="00B266E9" w:rsidRPr="00235369" w:rsidRDefault="00000000">
            <w:pPr>
              <w:pStyle w:val="NormalWeb"/>
              <w:jc w:val="left"/>
              <w:rPr>
                <w:rFonts w:ascii="Times New Roman" w:hAnsi="Times New Roman" w:cs="Times New Roman"/>
                <w:b/>
                <w:bCs/>
                <w:sz w:val="24"/>
                <w:szCs w:val="24"/>
              </w:rPr>
            </w:pPr>
            <w:r w:rsidRPr="00235369">
              <w:rPr>
                <w:rFonts w:ascii="Times New Roman" w:hAnsi="Times New Roman" w:cs="Times New Roman"/>
                <w:b/>
                <w:bCs/>
                <w:sz w:val="24"/>
                <w:szCs w:val="24"/>
              </w:rPr>
              <w:t>Prefeito</w:t>
            </w:r>
          </w:p>
          <w:p w14:paraId="7CAAEB91" w14:textId="77777777" w:rsidR="00235369" w:rsidRDefault="00235369">
            <w:pPr>
              <w:pStyle w:val="NormalWeb"/>
              <w:rPr>
                <w:rFonts w:ascii="Times New Roman" w:hAnsi="Times New Roman" w:cs="Times New Roman"/>
                <w:sz w:val="24"/>
                <w:szCs w:val="24"/>
              </w:rPr>
            </w:pPr>
          </w:p>
          <w:p w14:paraId="04DD4148" w14:textId="77777777" w:rsidR="00235369" w:rsidRDefault="00235369">
            <w:pPr>
              <w:pStyle w:val="NormalWeb"/>
              <w:rPr>
                <w:rFonts w:ascii="Times New Roman" w:hAnsi="Times New Roman" w:cs="Times New Roman"/>
                <w:sz w:val="24"/>
                <w:szCs w:val="24"/>
              </w:rPr>
            </w:pPr>
          </w:p>
          <w:p w14:paraId="068D4DF5" w14:textId="441C184E" w:rsidR="00B266E9" w:rsidRPr="004C55D0"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75F45E9B" w14:textId="77777777" w:rsidR="00B266E9" w:rsidRPr="004C55D0" w:rsidRDefault="00000000">
            <w:pPr>
              <w:pStyle w:val="NormalWeb"/>
              <w:jc w:val="left"/>
              <w:rPr>
                <w:rFonts w:ascii="Times New Roman" w:hAnsi="Times New Roman" w:cs="Times New Roman"/>
                <w:sz w:val="24"/>
                <w:szCs w:val="24"/>
              </w:rPr>
            </w:pPr>
            <w:r w:rsidRPr="004C55D0">
              <w:rPr>
                <w:rFonts w:ascii="Times New Roman" w:hAnsi="Times New Roman" w:cs="Times New Roman"/>
                <w:sz w:val="24"/>
                <w:szCs w:val="24"/>
              </w:rPr>
              <w:t>PELO CONTRATADO</w:t>
            </w:r>
          </w:p>
          <w:p w14:paraId="3ADE5FC3" w14:textId="77777777" w:rsidR="00B266E9"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359EDC41" w14:textId="77777777" w:rsidR="00235369" w:rsidRDefault="00235369">
            <w:pPr>
              <w:pStyle w:val="NormalWeb"/>
              <w:rPr>
                <w:rFonts w:ascii="Times New Roman" w:hAnsi="Times New Roman" w:cs="Times New Roman"/>
                <w:sz w:val="24"/>
                <w:szCs w:val="24"/>
              </w:rPr>
            </w:pPr>
          </w:p>
          <w:p w14:paraId="53CF8035" w14:textId="77777777" w:rsidR="00235369" w:rsidRPr="004C55D0" w:rsidRDefault="00235369">
            <w:pPr>
              <w:pStyle w:val="NormalWeb"/>
              <w:rPr>
                <w:rFonts w:ascii="Times New Roman" w:hAnsi="Times New Roman" w:cs="Times New Roman"/>
                <w:sz w:val="24"/>
                <w:szCs w:val="24"/>
              </w:rPr>
            </w:pPr>
          </w:p>
          <w:p w14:paraId="000C94A2" w14:textId="77777777" w:rsidR="00B266E9" w:rsidRDefault="00000000">
            <w:pPr>
              <w:pStyle w:val="NormalWeb"/>
              <w:rPr>
                <w:rFonts w:ascii="Times New Roman" w:hAnsi="Times New Roman" w:cs="Times New Roman"/>
                <w:sz w:val="24"/>
                <w:szCs w:val="24"/>
              </w:rPr>
            </w:pPr>
            <w:r w:rsidRPr="004C55D0">
              <w:rPr>
                <w:rFonts w:ascii="Times New Roman" w:hAnsi="Times New Roman" w:cs="Times New Roman"/>
                <w:sz w:val="24"/>
                <w:szCs w:val="24"/>
              </w:rPr>
              <w:t> </w:t>
            </w:r>
          </w:p>
          <w:p w14:paraId="1BC52F03" w14:textId="77777777" w:rsidR="00235369" w:rsidRPr="004C55D0" w:rsidRDefault="00235369">
            <w:pPr>
              <w:pStyle w:val="NormalWeb"/>
              <w:rPr>
                <w:rFonts w:ascii="Times New Roman" w:hAnsi="Times New Roman" w:cs="Times New Roman"/>
                <w:sz w:val="24"/>
                <w:szCs w:val="24"/>
              </w:rPr>
            </w:pPr>
          </w:p>
          <w:p w14:paraId="7DAEC7B1" w14:textId="77777777" w:rsidR="00B266E9" w:rsidRPr="004C55D0" w:rsidRDefault="00000000">
            <w:pPr>
              <w:pStyle w:val="NormalWeb"/>
              <w:jc w:val="left"/>
              <w:rPr>
                <w:rFonts w:ascii="Times New Roman" w:hAnsi="Times New Roman" w:cs="Times New Roman"/>
                <w:sz w:val="24"/>
                <w:szCs w:val="24"/>
              </w:rPr>
            </w:pPr>
            <w:r w:rsidRPr="004C55D0">
              <w:rPr>
                <w:rFonts w:ascii="Times New Roman" w:hAnsi="Times New Roman" w:cs="Times New Roman"/>
                <w:sz w:val="24"/>
                <w:szCs w:val="24"/>
              </w:rPr>
              <w:t>_____________________________________</w:t>
            </w:r>
          </w:p>
          <w:p w14:paraId="352FBE06" w14:textId="21EDD072" w:rsidR="00B266E9" w:rsidRPr="004C55D0" w:rsidRDefault="00235369">
            <w:pPr>
              <w:pStyle w:val="NormalWeb"/>
              <w:jc w:val="left"/>
              <w:rPr>
                <w:rFonts w:ascii="Times New Roman" w:hAnsi="Times New Roman" w:cs="Times New Roman"/>
                <w:sz w:val="24"/>
                <w:szCs w:val="24"/>
              </w:rPr>
            </w:pPr>
            <w:r w:rsidRPr="004C55D0">
              <w:rPr>
                <w:rFonts w:ascii="Times New Roman" w:hAnsi="Times New Roman" w:cs="Times New Roman"/>
                <w:b/>
                <w:bCs/>
                <w:sz w:val="24"/>
                <w:szCs w:val="24"/>
              </w:rPr>
              <w:t>TATIANE GOMES DOS SANTOS BARBOSA</w:t>
            </w:r>
          </w:p>
        </w:tc>
      </w:tr>
    </w:tbl>
    <w:p w14:paraId="3CD5C4EC" w14:textId="3B585177" w:rsidR="000D57A6" w:rsidRPr="004C55D0" w:rsidRDefault="004C55D0" w:rsidP="004C55D0">
      <w:pPr>
        <w:jc w:val="center"/>
        <w:rPr>
          <w:rFonts w:eastAsia="Times New Roman"/>
        </w:rPr>
      </w:pPr>
      <w:r>
        <w:rPr>
          <w:rFonts w:eastAsia="Times New Roman"/>
        </w:rPr>
        <w:t xml:space="preserve">                                          </w:t>
      </w:r>
      <w:r w:rsidRPr="004C55D0">
        <w:t>CPF nº 078.707.454-30</w:t>
      </w:r>
    </w:p>
    <w:sectPr w:rsidR="000D57A6" w:rsidRPr="004C55D0" w:rsidSect="004C55D0">
      <w:headerReference w:type="default" r:id="rId6"/>
      <w:footerReference w:type="default" r:id="rId7"/>
      <w:pgSz w:w="11907" w:h="16840"/>
      <w:pgMar w:top="851" w:right="851" w:bottom="851" w:left="851"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6AF2" w14:textId="77777777" w:rsidR="00776923" w:rsidRDefault="00776923" w:rsidP="009B02D7">
      <w:r>
        <w:separator/>
      </w:r>
    </w:p>
  </w:endnote>
  <w:endnote w:type="continuationSeparator" w:id="0">
    <w:p w14:paraId="6153E882" w14:textId="77777777" w:rsidR="00776923" w:rsidRDefault="00776923" w:rsidP="009B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199FF370" w14:textId="77777777" w:rsidR="009B02D7" w:rsidRDefault="009B02D7" w:rsidP="009B02D7">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284AD85F" w14:textId="77777777" w:rsidR="009B02D7" w:rsidRDefault="009B02D7" w:rsidP="009B02D7">
            <w:pPr>
              <w:pStyle w:val="Rodap"/>
              <w:pBdr>
                <w:bottom w:val="single" w:sz="12" w:space="1" w:color="auto"/>
              </w:pBdr>
              <w:jc w:val="right"/>
              <w:rPr>
                <w:b/>
                <w:bCs/>
              </w:rPr>
            </w:pPr>
          </w:p>
          <w:p w14:paraId="5A5B6F54" w14:textId="77777777" w:rsidR="009B02D7" w:rsidRPr="00FF619E" w:rsidRDefault="009B02D7" w:rsidP="009B02D7">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00CAD9EA" w14:textId="77777777" w:rsidR="009B02D7" w:rsidRPr="007A0120" w:rsidRDefault="009B02D7" w:rsidP="009B02D7">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348C541A" w14:textId="3B81BB25" w:rsidR="009B02D7" w:rsidRDefault="009B02D7" w:rsidP="009B02D7">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A132" w14:textId="77777777" w:rsidR="00776923" w:rsidRDefault="00776923" w:rsidP="009B02D7">
      <w:r>
        <w:separator/>
      </w:r>
    </w:p>
  </w:footnote>
  <w:footnote w:type="continuationSeparator" w:id="0">
    <w:p w14:paraId="654E18B8" w14:textId="77777777" w:rsidR="00776923" w:rsidRDefault="00776923" w:rsidP="009B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50C1" w14:textId="77777777" w:rsidR="009B02D7" w:rsidRDefault="009B02D7" w:rsidP="009B02D7">
    <w:pPr>
      <w:pStyle w:val="Cabealho"/>
      <w:spacing w:line="360" w:lineRule="auto"/>
      <w:jc w:val="center"/>
    </w:pPr>
    <w:r>
      <w:rPr>
        <w:noProof/>
      </w:rPr>
      <w:drawing>
        <wp:inline distT="0" distB="0" distL="0" distR="0" wp14:anchorId="2F401326" wp14:editId="482B61C9">
          <wp:extent cx="628650" cy="581025"/>
          <wp:effectExtent l="0" t="0" r="0" b="9525"/>
          <wp:docPr id="2035752999" name="Imagem 203575299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19ECDF52" w14:textId="77777777" w:rsidR="009B02D7" w:rsidRDefault="009B02D7" w:rsidP="009B02D7">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435332B6" wp14:editId="16D56471">
              <wp:simplePos x="0" y="0"/>
              <wp:positionH relativeFrom="margin">
                <wp:align>right</wp:align>
              </wp:positionH>
              <wp:positionV relativeFrom="paragraph">
                <wp:posOffset>376555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732381" id="_x0000_t32" coordsize="21600,21600" o:spt="32" o:oned="t" path="m,l21600,21600e" filled="f">
              <v:path arrowok="t" fillok="f" o:connecttype="none"/>
              <o:lock v:ext="edit" shapetype="t"/>
            </v:shapetype>
            <v:shape id="Conector de seta reta 6" o:spid="_x0000_s1026" type="#_x0000_t32" style="position:absolute;margin-left:459.1pt;margin-top:29.65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0483E334" wp14:editId="52B00061">
          <wp:extent cx="2066925" cy="342900"/>
          <wp:effectExtent l="0" t="0" r="9525" b="0"/>
          <wp:docPr id="1698965966" name="Imagem 16989659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62E249C1" w14:textId="77777777" w:rsidR="009B02D7" w:rsidRDefault="009B02D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54"/>
    <w:rsid w:val="000D57A6"/>
    <w:rsid w:val="00160054"/>
    <w:rsid w:val="00235369"/>
    <w:rsid w:val="003F498A"/>
    <w:rsid w:val="004C55D0"/>
    <w:rsid w:val="0076611E"/>
    <w:rsid w:val="00773C7E"/>
    <w:rsid w:val="00776923"/>
    <w:rsid w:val="009B02D7"/>
    <w:rsid w:val="00B266E9"/>
    <w:rsid w:val="00D12C41"/>
    <w:rsid w:val="00DB0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7A66F"/>
  <w15:chartTrackingRefBased/>
  <w15:docId w15:val="{C6367EE6-2FEC-40BF-983E-A699F8C2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9B02D7"/>
    <w:pPr>
      <w:tabs>
        <w:tab w:val="center" w:pos="4252"/>
        <w:tab w:val="right" w:pos="8504"/>
      </w:tabs>
    </w:pPr>
  </w:style>
  <w:style w:type="character" w:customStyle="1" w:styleId="CabealhoChar">
    <w:name w:val="Cabeçalho Char"/>
    <w:basedOn w:val="Fontepargpadro"/>
    <w:link w:val="Cabealho"/>
    <w:uiPriority w:val="99"/>
    <w:rsid w:val="009B02D7"/>
    <w:rPr>
      <w:rFonts w:eastAsiaTheme="minorEastAsia"/>
      <w:sz w:val="24"/>
      <w:szCs w:val="24"/>
    </w:rPr>
  </w:style>
  <w:style w:type="paragraph" w:styleId="Rodap">
    <w:name w:val="footer"/>
    <w:basedOn w:val="Normal"/>
    <w:link w:val="RodapChar"/>
    <w:uiPriority w:val="99"/>
    <w:unhideWhenUsed/>
    <w:rsid w:val="009B02D7"/>
    <w:pPr>
      <w:tabs>
        <w:tab w:val="center" w:pos="4252"/>
        <w:tab w:val="right" w:pos="8504"/>
      </w:tabs>
    </w:pPr>
  </w:style>
  <w:style w:type="character" w:customStyle="1" w:styleId="RodapChar">
    <w:name w:val="Rodapé Char"/>
    <w:basedOn w:val="Fontepargpadro"/>
    <w:link w:val="Rodap"/>
    <w:uiPriority w:val="99"/>
    <w:rsid w:val="009B02D7"/>
    <w:rPr>
      <w:rFonts w:eastAsiaTheme="minorEastAsia"/>
      <w:sz w:val="24"/>
      <w:szCs w:val="24"/>
    </w:rPr>
  </w:style>
  <w:style w:type="character" w:styleId="Hyperlink">
    <w:name w:val="Hyperlink"/>
    <w:basedOn w:val="Fontepargpadro"/>
    <w:uiPriority w:val="99"/>
    <w:unhideWhenUsed/>
    <w:rsid w:val="009B0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3363</Words>
  <Characters>18163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4</cp:revision>
  <cp:lastPrinted>2025-05-12T13:17:00Z</cp:lastPrinted>
  <dcterms:created xsi:type="dcterms:W3CDTF">2025-05-11T18:34:00Z</dcterms:created>
  <dcterms:modified xsi:type="dcterms:W3CDTF">2025-05-12T13:17:00Z</dcterms:modified>
</cp:coreProperties>
</file>